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BBE2E" w14:textId="7109FCDD"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A74866">
        <w:rPr>
          <w:rFonts w:ascii="Arial" w:eastAsia="SimSun" w:hAnsi="Arial" w:cs="Times New Roman"/>
          <w:b/>
          <w:sz w:val="24"/>
          <w:szCs w:val="20"/>
        </w:rPr>
        <w:t>5</w:t>
      </w:r>
      <w:r w:rsidRPr="008F786B">
        <w:rPr>
          <w:rFonts w:ascii="Arial" w:eastAsia="SimSun" w:hAnsi="Arial" w:cs="Times New Roman"/>
          <w:b/>
          <w:bCs/>
          <w:sz w:val="24"/>
          <w:szCs w:val="20"/>
        </w:rPr>
        <w:tab/>
      </w:r>
      <w:r w:rsidR="00ED01C8" w:rsidRPr="00ED01C8">
        <w:rPr>
          <w:rFonts w:ascii="Arial" w:eastAsia="SimSun" w:hAnsi="Arial" w:cs="Times New Roman"/>
          <w:b/>
          <w:bCs/>
          <w:sz w:val="24"/>
          <w:szCs w:val="20"/>
          <w:lang w:eastAsia="ja-JP"/>
        </w:rPr>
        <w:t>R4-2507362</w:t>
      </w:r>
    </w:p>
    <w:bookmarkEnd w:id="0"/>
    <w:bookmarkEnd w:id="1"/>
    <w:p w14:paraId="298BCB38" w14:textId="77777777" w:rsidR="00B26A8A" w:rsidRPr="00B26A8A" w:rsidRDefault="00A74866"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Malta</w:t>
      </w:r>
      <w:r w:rsidR="00B26A8A" w:rsidRPr="00B26A8A">
        <w:rPr>
          <w:rFonts w:ascii="Arial" w:eastAsia="SimSun" w:hAnsi="Arial" w:cs="Times New Roman"/>
          <w:b/>
          <w:sz w:val="24"/>
          <w:szCs w:val="20"/>
        </w:rPr>
        <w:t>,</w:t>
      </w:r>
      <w:r w:rsidR="00182687">
        <w:rPr>
          <w:rFonts w:ascii="Arial" w:eastAsia="SimSun" w:hAnsi="Arial" w:cs="Times New Roman"/>
          <w:b/>
          <w:sz w:val="24"/>
          <w:szCs w:val="20"/>
        </w:rPr>
        <w:t xml:space="preserve"> MT,</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May</w:t>
      </w:r>
      <w:r w:rsidR="00B26A8A" w:rsidRPr="00B26A8A">
        <w:rPr>
          <w:rFonts w:ascii="Arial" w:eastAsia="SimSun" w:hAnsi="Arial" w:cs="Times New Roman"/>
          <w:b/>
          <w:sz w:val="24"/>
          <w:szCs w:val="20"/>
        </w:rPr>
        <w:t xml:space="preserve"> </w:t>
      </w:r>
      <w:r>
        <w:rPr>
          <w:rFonts w:ascii="Arial" w:eastAsia="SimSun" w:hAnsi="Arial" w:cs="Times New Roman"/>
          <w:b/>
          <w:sz w:val="24"/>
          <w:szCs w:val="20"/>
        </w:rPr>
        <w:t>19</w:t>
      </w:r>
      <w:r w:rsidR="00B26A8A" w:rsidRPr="00B26A8A">
        <w:rPr>
          <w:rFonts w:ascii="Arial" w:eastAsia="SimSun" w:hAnsi="Arial" w:cs="Times New Roman"/>
          <w:b/>
          <w:sz w:val="24"/>
          <w:szCs w:val="20"/>
        </w:rPr>
        <w:t>th –</w:t>
      </w:r>
      <w:r>
        <w:rPr>
          <w:rFonts w:ascii="Arial" w:eastAsia="SimSun" w:hAnsi="Arial" w:cs="Times New Roman"/>
          <w:b/>
          <w:sz w:val="24"/>
          <w:szCs w:val="20"/>
        </w:rPr>
        <w:t>May 23rd</w:t>
      </w:r>
      <w:r w:rsidR="00B26A8A" w:rsidRPr="00B26A8A">
        <w:rPr>
          <w:rFonts w:ascii="Arial" w:eastAsia="SimSun" w:hAnsi="Arial" w:cs="Times New Roman"/>
          <w:b/>
          <w:sz w:val="24"/>
          <w:szCs w:val="20"/>
        </w:rPr>
        <w:t>, 2025</w:t>
      </w:r>
    </w:p>
    <w:p w14:paraId="72FFFB62"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15BC8D9"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19351C8E" w14:textId="7AC7F993"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ED01C8" w:rsidRPr="00ED01C8">
        <w:rPr>
          <w:rFonts w:ascii="Arial" w:eastAsia="Calibri" w:hAnsi="Arial" w:cs="Arial"/>
          <w:b/>
          <w:bCs/>
          <w:sz w:val="24"/>
        </w:rPr>
        <w:t>Impact of DL coverage enhancement on SMTC configuration and measurement requirements</w:t>
      </w:r>
    </w:p>
    <w:p w14:paraId="25952065" w14:textId="010092CC" w:rsidR="00841BCD" w:rsidRPr="002B6B92" w:rsidRDefault="00841BCD" w:rsidP="00841BCD">
      <w:pPr>
        <w:tabs>
          <w:tab w:val="left" w:pos="1985"/>
        </w:tabs>
        <w:spacing w:after="120" w:line="240" w:lineRule="auto"/>
        <w:rPr>
          <w:rFonts w:ascii="Arial" w:eastAsia="MS Mincho" w:hAnsi="Arial" w:cs="Arial"/>
          <w:b/>
          <w:bCs/>
          <w:sz w:val="24"/>
          <w:szCs w:val="20"/>
          <w:lang w:val="pt-BR"/>
        </w:rPr>
      </w:pPr>
      <w:r w:rsidRPr="002B6B92">
        <w:rPr>
          <w:rFonts w:ascii="Arial" w:eastAsia="MS Mincho" w:hAnsi="Arial" w:cs="Arial"/>
          <w:b/>
          <w:bCs/>
          <w:sz w:val="24"/>
          <w:szCs w:val="20"/>
          <w:lang w:val="pt-BR"/>
        </w:rPr>
        <w:t>Agenda item:</w:t>
      </w:r>
      <w:r w:rsidRPr="002B6B92">
        <w:rPr>
          <w:rFonts w:ascii="Arial" w:eastAsia="MS Mincho" w:hAnsi="Arial" w:cs="Arial"/>
          <w:b/>
          <w:bCs/>
          <w:sz w:val="24"/>
          <w:szCs w:val="20"/>
          <w:lang w:val="pt-BR"/>
        </w:rPr>
        <w:tab/>
      </w:r>
      <w:r w:rsidR="00ED01C8">
        <w:rPr>
          <w:rFonts w:ascii="Arial" w:eastAsia="MS Mincho" w:hAnsi="Arial" w:cs="Arial"/>
          <w:b/>
          <w:bCs/>
          <w:sz w:val="24"/>
          <w:szCs w:val="20"/>
          <w:lang w:val="pt-BR"/>
        </w:rPr>
        <w:t>7.31.5.2</w:t>
      </w:r>
    </w:p>
    <w:p w14:paraId="65088DFE" w14:textId="77777777" w:rsidR="00E323E9" w:rsidRPr="002B6B92" w:rsidRDefault="00841BCD" w:rsidP="00841BCD">
      <w:pPr>
        <w:tabs>
          <w:tab w:val="left" w:pos="1985"/>
        </w:tabs>
        <w:rPr>
          <w:rFonts w:ascii="Arial" w:eastAsia="Calibri" w:hAnsi="Arial" w:cs="Arial"/>
          <w:b/>
          <w:bCs/>
          <w:sz w:val="24"/>
          <w:lang w:val="pt-BR"/>
        </w:rPr>
      </w:pPr>
      <w:proofErr w:type="spellStart"/>
      <w:r w:rsidRPr="002B6B92">
        <w:rPr>
          <w:rFonts w:ascii="Arial" w:eastAsia="Calibri" w:hAnsi="Arial" w:cs="Arial"/>
          <w:b/>
          <w:bCs/>
          <w:sz w:val="24"/>
          <w:lang w:val="pt-BR"/>
        </w:rPr>
        <w:t>Document</w:t>
      </w:r>
      <w:proofErr w:type="spellEnd"/>
      <w:r w:rsidRPr="002B6B92">
        <w:rPr>
          <w:rFonts w:ascii="Arial" w:eastAsia="Calibri" w:hAnsi="Arial" w:cs="Arial"/>
          <w:b/>
          <w:bCs/>
          <w:sz w:val="24"/>
          <w:lang w:val="pt-BR"/>
        </w:rPr>
        <w:t xml:space="preserve"> for:</w:t>
      </w:r>
      <w:r w:rsidRPr="002B6B92">
        <w:rPr>
          <w:rFonts w:ascii="Arial" w:eastAsia="Calibri" w:hAnsi="Arial" w:cs="Arial"/>
          <w:b/>
          <w:bCs/>
          <w:sz w:val="24"/>
          <w:lang w:val="pt-BR"/>
        </w:rPr>
        <w:tab/>
      </w:r>
      <w:proofErr w:type="spellStart"/>
      <w:r w:rsidR="00AE6D09" w:rsidRPr="002B6B92">
        <w:rPr>
          <w:rFonts w:ascii="Arial" w:eastAsia="Calibri" w:hAnsi="Arial" w:cs="Arial"/>
          <w:b/>
          <w:bCs/>
          <w:sz w:val="24"/>
          <w:lang w:val="pt-BR"/>
        </w:rPr>
        <w:t>Discussion</w:t>
      </w:r>
      <w:proofErr w:type="spellEnd"/>
    </w:p>
    <w:p w14:paraId="143C382C"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7772F922" w14:textId="498FF448" w:rsidR="007A5589" w:rsidRDefault="007A5589" w:rsidP="007A5589">
      <w:r>
        <w:t xml:space="preserve">In [1], RAN plenary has approved a new WI for NTN, which will progress the effort of specification for NTN systems in 3GPP technologies in Rel-19 (NR_NTN_PH3). The WID contain a handful of objectives and among them, there is one topic on Downlink Coverage Enhancements. One of the main features discussed to be implemented as part of this feature is an extended SSB periodicity for the main (SA) cell in NTN, to match the periodic “active” and “inactive” periods of the cell. The switching between “active” and “inactive” is created in NTN to handle the limited power availability in the satellite. </w:t>
      </w:r>
    </w:p>
    <w:p w14:paraId="10CC859D" w14:textId="079060B1" w:rsidR="007A5589" w:rsidRDefault="007A5589" w:rsidP="007A5589">
      <w:r>
        <w:t xml:space="preserve">The discussions of this WI in RAN4 were initiated in the meeting RAN4 #112. Discussions ensued in the following meetings, including RAN4#114-bis and as the outcome of the discussion a way-forward (WF) document was approved which contains a set of agreements and other way-forward (for further discussion) guidance for currently identified open issues [3]. </w:t>
      </w:r>
    </w:p>
    <w:p w14:paraId="64585B5E" w14:textId="6292C801" w:rsidR="0060543D" w:rsidRPr="007A5589" w:rsidRDefault="007A5589" w:rsidP="005C23A4">
      <w:pPr>
        <w:rPr>
          <w:lang w:val="en-US"/>
        </w:rPr>
      </w:pPr>
      <w:r>
        <w:t>In this document we provide our views related to current open issues on “Downlink Coverage Enhancements”.</w:t>
      </w:r>
    </w:p>
    <w:p w14:paraId="2CB62175" w14:textId="77777777" w:rsidR="00B66B7D" w:rsidRPr="008F786B" w:rsidRDefault="003B659E" w:rsidP="00B66B7D">
      <w:pPr>
        <w:pStyle w:val="RAN4H1"/>
      </w:pPr>
      <w:bookmarkStart w:id="4" w:name="_Toc116995842"/>
      <w:r w:rsidRPr="008F786B">
        <w:t>Discussion</w:t>
      </w:r>
      <w:bookmarkEnd w:id="4"/>
    </w:p>
    <w:p w14:paraId="622E4617" w14:textId="558AA531" w:rsidR="00B66B7D" w:rsidRDefault="007A5589" w:rsidP="00B66B7D">
      <w:r>
        <w:t xml:space="preserve">There are currently three open issues identified and described in the WF </w:t>
      </w:r>
      <w:r>
        <w:fldChar w:fldCharType="begin"/>
      </w:r>
      <w:r>
        <w:instrText xml:space="preserve"> REF _Ref197437312 \r \h </w:instrText>
      </w:r>
      <w:r>
        <w:fldChar w:fldCharType="separate"/>
      </w:r>
      <w:r>
        <w:t>[3]</w:t>
      </w:r>
      <w:r>
        <w:fldChar w:fldCharType="end"/>
      </w:r>
      <w:r>
        <w:t xml:space="preserve"> for this objective of DL coverage enhancements in NR NTN Rel-19:</w:t>
      </w:r>
    </w:p>
    <w:p w14:paraId="14C93896" w14:textId="382BB554" w:rsidR="007A5589" w:rsidRDefault="007A5589" w:rsidP="007A5589">
      <w:pPr>
        <w:pStyle w:val="ListParagraph"/>
        <w:numPr>
          <w:ilvl w:val="0"/>
          <w:numId w:val="29"/>
        </w:numPr>
      </w:pPr>
      <w:r>
        <w:t>SMTC configuration and actual SSB transmission period</w:t>
      </w:r>
    </w:p>
    <w:p w14:paraId="253D7279" w14:textId="39A3A330" w:rsidR="007A5589" w:rsidRDefault="007A5589" w:rsidP="007A5589">
      <w:pPr>
        <w:pStyle w:val="ListParagraph"/>
        <w:numPr>
          <w:ilvl w:val="0"/>
          <w:numId w:val="29"/>
        </w:numPr>
      </w:pPr>
      <w:r>
        <w:t>RRC Re-establishment when no SMTC information is provided</w:t>
      </w:r>
    </w:p>
    <w:p w14:paraId="18D64F57" w14:textId="1F59FB3A" w:rsidR="007A5589" w:rsidRDefault="007A5589" w:rsidP="007A5589">
      <w:pPr>
        <w:pStyle w:val="ListParagraph"/>
        <w:numPr>
          <w:ilvl w:val="0"/>
          <w:numId w:val="29"/>
        </w:numPr>
      </w:pPr>
      <w:r>
        <w:t xml:space="preserve">Paging interruption requirements when SSB periods are equal to 160 </w:t>
      </w:r>
      <w:proofErr w:type="spellStart"/>
      <w:r>
        <w:t>ms</w:t>
      </w:r>
      <w:proofErr w:type="spellEnd"/>
    </w:p>
    <w:p w14:paraId="749C5B03" w14:textId="0FDCD042" w:rsidR="007A5589" w:rsidRPr="008F786B" w:rsidRDefault="007A5589" w:rsidP="007A5589">
      <w:r>
        <w:t>Besides the issues above, RAN4 has also received a LS from RAN2</w:t>
      </w:r>
      <w:r w:rsidR="009062D9">
        <w:t xml:space="preserve"> </w:t>
      </w:r>
      <w:r w:rsidR="009062D9">
        <w:fldChar w:fldCharType="begin"/>
      </w:r>
      <w:r w:rsidR="009062D9">
        <w:instrText xml:space="preserve"> REF _Ref197437842 \r \h </w:instrText>
      </w:r>
      <w:r w:rsidR="009062D9">
        <w:fldChar w:fldCharType="separate"/>
      </w:r>
      <w:r w:rsidR="009062D9">
        <w:t>[4]</w:t>
      </w:r>
      <w:r w:rsidR="009062D9">
        <w:fldChar w:fldCharType="end"/>
      </w:r>
      <w:r>
        <w:t xml:space="preserve"> where further information is provided on the RAN2 progress regarding the SMTCs configuration on the scope of DL coverage enhancements. This LS overlaps with the first open issue described above and it will also be discussed in the present document. </w:t>
      </w:r>
    </w:p>
    <w:p w14:paraId="2443D03A" w14:textId="02AC444A" w:rsidR="00307EE8" w:rsidRPr="009062D9" w:rsidRDefault="007A5589" w:rsidP="005C7EFA">
      <w:pPr>
        <w:pStyle w:val="RAN4H2"/>
      </w:pPr>
      <w:r w:rsidRPr="009062D9">
        <w:t>SMTC Periodicity</w:t>
      </w:r>
      <w:r w:rsidR="009062D9" w:rsidRPr="009062D9">
        <w:t xml:space="preserve"> and new configurations</w:t>
      </w:r>
      <w:r w:rsidR="009062D9">
        <w:t xml:space="preserve"> (LS Reply)</w:t>
      </w:r>
    </w:p>
    <w:p w14:paraId="0E4ACA74" w14:textId="02439586" w:rsidR="009062D9" w:rsidRPr="009062D9" w:rsidRDefault="009062D9" w:rsidP="009062D9">
      <w:r w:rsidRPr="009062D9">
        <w:t>In their LS to RAN4, RAN2 informs the following:</w:t>
      </w:r>
    </w:p>
    <w:tbl>
      <w:tblPr>
        <w:tblStyle w:val="TableGrid"/>
        <w:tblW w:w="0" w:type="auto"/>
        <w:tblLook w:val="04A0" w:firstRow="1" w:lastRow="0" w:firstColumn="1" w:lastColumn="0" w:noHBand="0" w:noVBand="1"/>
      </w:tblPr>
      <w:tblGrid>
        <w:gridCol w:w="9617"/>
      </w:tblGrid>
      <w:tr w:rsidR="009062D9" w:rsidRPr="009062D9" w14:paraId="52ECE4BD" w14:textId="77777777" w:rsidTr="009062D9">
        <w:tc>
          <w:tcPr>
            <w:tcW w:w="9617" w:type="dxa"/>
          </w:tcPr>
          <w:p w14:paraId="3A034219" w14:textId="77777777" w:rsidR="009062D9" w:rsidRPr="009062D9" w:rsidRDefault="009062D9" w:rsidP="009062D9">
            <w:pPr>
              <w:rPr>
                <w:lang w:val="en-US"/>
              </w:rPr>
            </w:pPr>
            <w:r w:rsidRPr="009062D9">
              <w:rPr>
                <w:lang w:val="en-US"/>
              </w:rPr>
              <w:t xml:space="preserve">For downlink coverage enhancement, RAN2 assumes that it will be possible to have different SSB periodicities among </w:t>
            </w:r>
            <w:proofErr w:type="spellStart"/>
            <w:r w:rsidRPr="009062D9">
              <w:rPr>
                <w:lang w:val="en-US"/>
              </w:rPr>
              <w:t>neighbour</w:t>
            </w:r>
            <w:proofErr w:type="spellEnd"/>
            <w:r w:rsidRPr="009062D9">
              <w:rPr>
                <w:lang w:val="en-US"/>
              </w:rPr>
              <w:t xml:space="preserve"> cells in the same frequency layer, and for the case of intra-frequency </w:t>
            </w:r>
            <w:proofErr w:type="spellStart"/>
            <w:r w:rsidRPr="009062D9">
              <w:rPr>
                <w:lang w:val="en-US"/>
              </w:rPr>
              <w:t>neighbouring</w:t>
            </w:r>
            <w:proofErr w:type="spellEnd"/>
            <w:r w:rsidRPr="009062D9">
              <w:rPr>
                <w:lang w:val="en-US"/>
              </w:rPr>
              <w:t xml:space="preserve"> cells, the SSBs of surrounding </w:t>
            </w:r>
            <w:proofErr w:type="spellStart"/>
            <w:r w:rsidRPr="009062D9">
              <w:rPr>
                <w:lang w:val="en-US"/>
              </w:rPr>
              <w:t>neighbour</w:t>
            </w:r>
            <w:proofErr w:type="spellEnd"/>
            <w:r w:rsidRPr="009062D9">
              <w:rPr>
                <w:lang w:val="en-US"/>
              </w:rPr>
              <w:t xml:space="preserve"> cells may be transmitted at different times. Thus, RAN2 made the following agreements, given that at any time the UE will not use </w:t>
            </w:r>
            <w:proofErr w:type="gramStart"/>
            <w:r w:rsidRPr="009062D9">
              <w:rPr>
                <w:lang w:val="en-US"/>
              </w:rPr>
              <w:t>more SMTCs/Gaps</w:t>
            </w:r>
            <w:proofErr w:type="gramEnd"/>
            <w:r w:rsidRPr="009062D9">
              <w:rPr>
                <w:lang w:val="en-US"/>
              </w:rPr>
              <w:t xml:space="preserve"> in parallel than in previous releases:</w:t>
            </w:r>
          </w:p>
          <w:p w14:paraId="2A0B96AB" w14:textId="77777777" w:rsidR="009062D9" w:rsidRPr="009062D9" w:rsidRDefault="009062D9" w:rsidP="009062D9">
            <w:pPr>
              <w:rPr>
                <w:lang w:val="en-US"/>
              </w:rPr>
            </w:pPr>
            <w:r w:rsidRPr="009062D9">
              <w:rPr>
                <w:lang w:val="en-US"/>
              </w:rPr>
              <w:t>-</w:t>
            </w:r>
            <w:r w:rsidRPr="009062D9">
              <w:rPr>
                <w:lang w:val="en-US"/>
              </w:rPr>
              <w:tab/>
              <w:t xml:space="preserve">RAN2 considers </w:t>
            </w:r>
            <w:proofErr w:type="gramStart"/>
            <w:r w:rsidRPr="009062D9">
              <w:rPr>
                <w:lang w:val="en-US"/>
              </w:rPr>
              <w:t>to support</w:t>
            </w:r>
            <w:proofErr w:type="gramEnd"/>
            <w:r w:rsidRPr="009062D9">
              <w:rPr>
                <w:lang w:val="en-US"/>
              </w:rPr>
              <w:t xml:space="preserve"> configuring two different SMTC periodicities (with different offsets) in one frequency layer for idle, inactive and connected mode neighbor cell measurements.</w:t>
            </w:r>
          </w:p>
          <w:p w14:paraId="199FF2F1" w14:textId="77777777" w:rsidR="009062D9" w:rsidRPr="009062D9" w:rsidRDefault="009062D9" w:rsidP="009062D9">
            <w:pPr>
              <w:rPr>
                <w:lang w:val="en-US"/>
              </w:rPr>
            </w:pPr>
            <w:r w:rsidRPr="009062D9">
              <w:rPr>
                <w:lang w:val="en-US"/>
              </w:rPr>
              <w:t>-</w:t>
            </w:r>
            <w:r w:rsidRPr="009062D9">
              <w:rPr>
                <w:lang w:val="en-US"/>
              </w:rPr>
              <w:tab/>
              <w:t xml:space="preserve">RAN2 agrees to support configuring more than 4 SMTCs per frequency (i.e. 6) for idle/inactive UEs. </w:t>
            </w:r>
          </w:p>
          <w:p w14:paraId="2659826A" w14:textId="2837D2B5" w:rsidR="009062D9" w:rsidRPr="009062D9" w:rsidRDefault="009062D9" w:rsidP="009062D9">
            <w:pPr>
              <w:rPr>
                <w:lang w:val="en-US"/>
              </w:rPr>
            </w:pPr>
            <w:r w:rsidRPr="009062D9">
              <w:rPr>
                <w:lang w:val="en-US"/>
              </w:rPr>
              <w:t xml:space="preserve">RAN2 would like RAN4 to provide feedback on whether it is feasible to support these agreements in </w:t>
            </w:r>
            <w:proofErr w:type="gramStart"/>
            <w:r w:rsidRPr="009062D9">
              <w:rPr>
                <w:lang w:val="en-US"/>
              </w:rPr>
              <w:t>Rel</w:t>
            </w:r>
            <w:proofErr w:type="gramEnd"/>
            <w:r w:rsidRPr="009062D9">
              <w:rPr>
                <w:lang w:val="en-US"/>
              </w:rPr>
              <w:t>-19 timeframe.</w:t>
            </w:r>
          </w:p>
        </w:tc>
      </w:tr>
    </w:tbl>
    <w:p w14:paraId="2C82A0C6" w14:textId="77777777" w:rsidR="009062D9" w:rsidRPr="009062D9" w:rsidRDefault="009062D9" w:rsidP="009062D9"/>
    <w:p w14:paraId="5425C2B4" w14:textId="44052057" w:rsidR="009062D9" w:rsidRPr="009062D9" w:rsidRDefault="009062D9" w:rsidP="009062D9">
      <w:r w:rsidRPr="009062D9">
        <w:t>There are three relevant pieces of information to be treated above:</w:t>
      </w:r>
    </w:p>
    <w:p w14:paraId="5C9575CF" w14:textId="04F31261" w:rsidR="009062D9" w:rsidRPr="009062D9" w:rsidRDefault="009062D9" w:rsidP="009062D9">
      <w:pPr>
        <w:pStyle w:val="ListParagraph"/>
        <w:numPr>
          <w:ilvl w:val="0"/>
          <w:numId w:val="30"/>
        </w:numPr>
      </w:pPr>
      <w:r w:rsidRPr="009062D9">
        <w:rPr>
          <w:lang w:val="en-US"/>
        </w:rPr>
        <w:lastRenderedPageBreak/>
        <w:t xml:space="preserve">RAN2 assumes that it will be possible to have different SSB periodicities among </w:t>
      </w:r>
      <w:proofErr w:type="spellStart"/>
      <w:r w:rsidRPr="009062D9">
        <w:rPr>
          <w:lang w:val="en-US"/>
        </w:rPr>
        <w:t>neighbour</w:t>
      </w:r>
      <w:proofErr w:type="spellEnd"/>
      <w:r w:rsidRPr="009062D9">
        <w:rPr>
          <w:lang w:val="en-US"/>
        </w:rPr>
        <w:t xml:space="preserve"> cells </w:t>
      </w:r>
      <w:r w:rsidRPr="009062D9">
        <w:rPr>
          <w:b/>
          <w:bCs/>
          <w:lang w:val="en-US"/>
        </w:rPr>
        <w:t>in the same frequency layer</w:t>
      </w:r>
    </w:p>
    <w:p w14:paraId="0D936F31" w14:textId="64923692" w:rsidR="009062D9" w:rsidRPr="009062D9" w:rsidRDefault="009062D9" w:rsidP="009062D9">
      <w:pPr>
        <w:pStyle w:val="ListParagraph"/>
        <w:numPr>
          <w:ilvl w:val="0"/>
          <w:numId w:val="30"/>
        </w:numPr>
      </w:pPr>
      <w:r w:rsidRPr="009062D9">
        <w:rPr>
          <w:lang w:val="en-US"/>
        </w:rPr>
        <w:t xml:space="preserve">RAN2 considers </w:t>
      </w:r>
      <w:proofErr w:type="gramStart"/>
      <w:r w:rsidRPr="009062D9">
        <w:rPr>
          <w:lang w:val="en-US"/>
        </w:rPr>
        <w:t>to support</w:t>
      </w:r>
      <w:proofErr w:type="gramEnd"/>
      <w:r w:rsidRPr="009062D9">
        <w:rPr>
          <w:lang w:val="en-US"/>
        </w:rPr>
        <w:t xml:space="preserve"> configuring two different SMTC periodicities</w:t>
      </w:r>
    </w:p>
    <w:p w14:paraId="5BF7B3EE" w14:textId="1BA09225" w:rsidR="009062D9" w:rsidRPr="009062D9" w:rsidRDefault="009062D9" w:rsidP="009062D9">
      <w:pPr>
        <w:pStyle w:val="ListParagraph"/>
        <w:numPr>
          <w:ilvl w:val="0"/>
          <w:numId w:val="30"/>
        </w:numPr>
      </w:pPr>
      <w:r w:rsidRPr="009062D9">
        <w:rPr>
          <w:lang w:val="en-US"/>
        </w:rPr>
        <w:t>RAN2 agrees to support configuring more than 4 SMTCs per frequency (i.e. 6) for idle/inactive UEs.</w:t>
      </w:r>
    </w:p>
    <w:p w14:paraId="58CABC82" w14:textId="751B3F4B" w:rsidR="009062D9" w:rsidRPr="009062D9" w:rsidRDefault="009062D9" w:rsidP="009062D9">
      <w:r>
        <w:t xml:space="preserve">The first item on the list above has motivated RAN2 to pursue the second and third items, which correspond to more complex and flexible SMTC configurations for different scenario. </w:t>
      </w:r>
    </w:p>
    <w:p w14:paraId="4E357364" w14:textId="6A9F32A9" w:rsidR="009062D9" w:rsidRDefault="009062D9" w:rsidP="009062D9">
      <w:pPr>
        <w:pStyle w:val="RAN4H3"/>
      </w:pPr>
      <w:r>
        <w:t>Different SMTC periodicities</w:t>
      </w:r>
    </w:p>
    <w:p w14:paraId="29B8F132" w14:textId="555A801D" w:rsidR="009062D9" w:rsidRDefault="009062D9" w:rsidP="009062D9">
      <w:r>
        <w:t>From RAN4 point of view, it is already possible to implement two different SMTC periodicities in one frequency layer, if those are configured via SMTC and SMTC2.</w:t>
      </w:r>
      <w:r w:rsidR="00DD0865">
        <w:t xml:space="preserve"> But that would not be possible utilizing SMTC4 list. </w:t>
      </w:r>
      <w:r>
        <w:t xml:space="preserve"> However, using this setup,</w:t>
      </w:r>
      <w:r w:rsidR="00283CEA">
        <w:t xml:space="preserve"> the offset and duration shall be derived from the SMTC1 configuration</w:t>
      </w:r>
      <w:r w:rsidR="009056ED">
        <w:t>, and the PCI of the cells that require more frequent measurements (</w:t>
      </w:r>
      <w:r w:rsidR="00037101">
        <w:t xml:space="preserve">shorter </w:t>
      </w:r>
      <w:r w:rsidR="009056ED">
        <w:t xml:space="preserve">SMTC </w:t>
      </w:r>
      <w:proofErr w:type="spellStart"/>
      <w:r w:rsidR="009056ED">
        <w:t>periodicitiy</w:t>
      </w:r>
      <w:proofErr w:type="spellEnd"/>
      <w:r w:rsidR="009056ED">
        <w:t xml:space="preserve">) </w:t>
      </w:r>
      <w:proofErr w:type="gramStart"/>
      <w:r w:rsidR="009056ED">
        <w:t>has to</w:t>
      </w:r>
      <w:proofErr w:type="gramEnd"/>
      <w:r w:rsidR="009056ED">
        <w:t xml:space="preserve"> be explicitly provided</w:t>
      </w:r>
      <w:r w:rsidR="00283CEA">
        <w:t>:</w:t>
      </w:r>
    </w:p>
    <w:tbl>
      <w:tblPr>
        <w:tblStyle w:val="TableGrid"/>
        <w:tblW w:w="0" w:type="auto"/>
        <w:tblLook w:val="04A0" w:firstRow="1" w:lastRow="0" w:firstColumn="1" w:lastColumn="0" w:noHBand="0" w:noVBand="1"/>
      </w:tblPr>
      <w:tblGrid>
        <w:gridCol w:w="9617"/>
      </w:tblGrid>
      <w:tr w:rsidR="00283CEA" w14:paraId="5077FEE5" w14:textId="77777777" w:rsidTr="00283CEA">
        <w:tc>
          <w:tcPr>
            <w:tcW w:w="9617" w:type="dxa"/>
          </w:tcPr>
          <w:p w14:paraId="2EFC92C2" w14:textId="4DF3E0B2" w:rsidR="00283CEA" w:rsidRPr="00283CEA" w:rsidRDefault="00283CEA" w:rsidP="009062D9">
            <w:pPr>
              <w:rPr>
                <w:b/>
                <w:bCs/>
                <w:u w:val="single"/>
              </w:rPr>
            </w:pPr>
            <w:r w:rsidRPr="00283CEA">
              <w:rPr>
                <w:b/>
                <w:bCs/>
                <w:u w:val="single"/>
              </w:rPr>
              <w:t>From TS 38.331</w:t>
            </w:r>
          </w:p>
          <w:p w14:paraId="44DC3F5F" w14:textId="254A5070" w:rsidR="00283CEA" w:rsidRDefault="00283CEA" w:rsidP="009062D9">
            <w:r w:rsidRPr="00283CEA">
              <w:t xml:space="preserve">If smtc2 is present, for cells indicated in the </w:t>
            </w:r>
            <w:proofErr w:type="spellStart"/>
            <w:r w:rsidRPr="00283CEA">
              <w:t>pci</w:t>
            </w:r>
            <w:proofErr w:type="spellEnd"/>
            <w:r w:rsidRPr="00283CEA">
              <w:t xml:space="preserve">-List parameter in </w:t>
            </w:r>
            <w:r w:rsidRPr="00283CEA">
              <w:rPr>
                <w:i/>
                <w:iCs/>
              </w:rPr>
              <w:t>smtc2</w:t>
            </w:r>
            <w:r w:rsidRPr="00283CEA">
              <w:t xml:space="preserve"> in the same </w:t>
            </w:r>
            <w:proofErr w:type="spellStart"/>
            <w:r w:rsidRPr="00283CEA">
              <w:t>MeasObjectNR</w:t>
            </w:r>
            <w:proofErr w:type="spellEnd"/>
            <w:r w:rsidRPr="00283CEA">
              <w:t xml:space="preserve">, the UE shall setup an additional SS/PBCH block measurement timing configuration (SMTC) in accordance with the received periodicity parameter in the </w:t>
            </w:r>
            <w:r w:rsidRPr="00283CEA">
              <w:rPr>
                <w:i/>
                <w:iCs/>
              </w:rPr>
              <w:t>smtc2</w:t>
            </w:r>
            <w:r w:rsidRPr="00283CEA">
              <w:t xml:space="preserve"> configuration and use the Offset (derived from parameter </w:t>
            </w:r>
            <w:proofErr w:type="spellStart"/>
            <w:r w:rsidRPr="00283CEA">
              <w:t>periodicityAndOffset</w:t>
            </w:r>
            <w:proofErr w:type="spellEnd"/>
            <w:r w:rsidRPr="00283CEA">
              <w:t xml:space="preserve">) and duration parameter from the smtc1 configuration. The first subframe of each SMTC occasion occurs at an SFN and subframe of the NR </w:t>
            </w:r>
            <w:proofErr w:type="spellStart"/>
            <w:r w:rsidRPr="00283CEA">
              <w:t>SpCell</w:t>
            </w:r>
            <w:proofErr w:type="spellEnd"/>
            <w:r w:rsidRPr="00283CEA">
              <w:t xml:space="preserve"> meeting the above condition.</w:t>
            </w:r>
          </w:p>
        </w:tc>
      </w:tr>
    </w:tbl>
    <w:p w14:paraId="323D0364" w14:textId="77777777" w:rsidR="00283CEA" w:rsidRDefault="00283CEA" w:rsidP="009062D9"/>
    <w:p w14:paraId="4E62AECF" w14:textId="4F0A1089" w:rsidR="00283CEA" w:rsidRDefault="00283CEA" w:rsidP="009062D9">
      <w:r>
        <w:t>If two periodicities are configured, with different offsets</w:t>
      </w:r>
      <w:r w:rsidR="009056ED">
        <w:t xml:space="preserve">, a new setup mechanism has to be provided, different from the one provided in SMTC2. </w:t>
      </w:r>
      <w:proofErr w:type="gramStart"/>
      <w:r w:rsidR="009056ED">
        <w:t>As long as</w:t>
      </w:r>
      <w:proofErr w:type="gramEnd"/>
      <w:r w:rsidR="009056ED">
        <w:t xml:space="preserve"> the two different configured periodicities are multiple of each other, and the PCI list associated with one of the periodicities is </w:t>
      </w:r>
      <w:proofErr w:type="gramStart"/>
      <w:r w:rsidR="009056ED">
        <w:t>provided,  the</w:t>
      </w:r>
      <w:proofErr w:type="gramEnd"/>
      <w:r w:rsidR="009056ED">
        <w:t xml:space="preserve"> requirements can be sorted out, as they were for SMTC and SMTC2. </w:t>
      </w:r>
    </w:p>
    <w:p w14:paraId="16454F7C" w14:textId="18886E8B" w:rsidR="00290244" w:rsidRDefault="00290244" w:rsidP="00290244">
      <w:pPr>
        <w:pStyle w:val="RAN4proposal"/>
      </w:pPr>
      <w:bookmarkStart w:id="5" w:name="_Toc197703663"/>
      <w:r>
        <w:t xml:space="preserve">Notify RAN2 that as long as the PCI list for one of the SMTC periodicities is provided and the two SMTC periodicities are multiple of each other, </w:t>
      </w:r>
      <w:r w:rsidR="0089556D">
        <w:t>then</w:t>
      </w:r>
      <w:r>
        <w:t xml:space="preserve"> the </w:t>
      </w:r>
      <w:r w:rsidR="00FF2D73">
        <w:t>feature is feasible from RAN4 point of view.</w:t>
      </w:r>
      <w:bookmarkEnd w:id="5"/>
      <w:r w:rsidR="00FF2D73">
        <w:t xml:space="preserve"> </w:t>
      </w:r>
    </w:p>
    <w:p w14:paraId="5686892C" w14:textId="78FDB8E3" w:rsidR="009056ED" w:rsidRDefault="009056ED" w:rsidP="009056ED">
      <w:pPr>
        <w:pStyle w:val="RAN4H3"/>
      </w:pPr>
      <w:r>
        <w:t>Six different SMTC configurations (frequency and offsets)</w:t>
      </w:r>
    </w:p>
    <w:p w14:paraId="2F6D8A92" w14:textId="2B851AAC" w:rsidR="00290244" w:rsidRDefault="009056ED" w:rsidP="009056ED">
      <w:r>
        <w:t>Based on the LS sent by RAN2, we derive that it is the intention that the network may configure up to two different SMTC periodicities and up to 6 different SMTC offsets</w:t>
      </w:r>
      <w:r w:rsidR="00290244">
        <w:t xml:space="preserve"> in idle mode</w:t>
      </w:r>
      <w:r>
        <w:t>, for a total of a maximum combined of 6 SMTC configurations</w:t>
      </w:r>
      <w:r w:rsidR="00037101">
        <w:t xml:space="preserve"> in the same frequency layer</w:t>
      </w:r>
      <w:r>
        <w:t xml:space="preserve">. </w:t>
      </w:r>
    </w:p>
    <w:p w14:paraId="6D73E64D" w14:textId="69CC41E2" w:rsidR="009056ED" w:rsidRDefault="00290244" w:rsidP="009056ED">
      <w:r>
        <w:t xml:space="preserve">One problem with configuring several SMTC offsets is that in previous releases, RAN4 has adopted the approach that if the number of SMTCs configured in idle mode exceeds the UE capability reported in parallelSMTC-r17, then the requirements are not </w:t>
      </w:r>
      <w:proofErr w:type="gramStart"/>
      <w:r>
        <w:t>applicable</w:t>
      </w:r>
      <w:proofErr w:type="gramEnd"/>
      <w:r>
        <w:t xml:space="preserve"> and it becomes up to UE implementation how to perform the measurements. </w:t>
      </w:r>
    </w:p>
    <w:p w14:paraId="52546E21" w14:textId="46F519E9" w:rsidR="00290244" w:rsidRDefault="00290244" w:rsidP="009056ED">
      <w:r>
        <w:t xml:space="preserve">If RAN2 solution is geared into fix the coexistence of multiple SSB periodicities by introducing more SMTC configurations, then the expectation is that in practice there will be a high number of SMTC configurations to be observed in commercial deployments, which in turn will make the mobility procedure more unpredictable and unverifiable. Because of this, it is important to notify RAN2 of the potential impact on the mobility feature expected when multiple SMTC windows are configured. </w:t>
      </w:r>
    </w:p>
    <w:p w14:paraId="51469334" w14:textId="71A1619D" w:rsidR="00290244" w:rsidRDefault="00FF2D73" w:rsidP="00290244">
      <w:pPr>
        <w:pStyle w:val="RAN4proposal"/>
      </w:pPr>
      <w:bookmarkStart w:id="6" w:name="_Toc197703664"/>
      <w:r>
        <w:t>Indicate to RAN2 that when 6 SMTC windows are configured, the cell reselection requirements will not be applicable if the UEs do not support 6 configured SMTC windows.</w:t>
      </w:r>
      <w:bookmarkEnd w:id="6"/>
      <w:r>
        <w:t xml:space="preserve"> </w:t>
      </w:r>
    </w:p>
    <w:p w14:paraId="1A4FB257" w14:textId="17AAB01D" w:rsidR="00290244" w:rsidRDefault="00290244" w:rsidP="009056ED">
      <w:r>
        <w:t xml:space="preserve">There are currently, potential work arounds to avoid that providing more information to the UE creates a worse outcome of the mobility feature: a prioritization mechanism is put into place or the support of 6 SMTCs is made mandatory. </w:t>
      </w:r>
    </w:p>
    <w:p w14:paraId="1D631E6F" w14:textId="77777777" w:rsidR="009920F1" w:rsidRDefault="00FF2D73" w:rsidP="009062D9">
      <w:pPr>
        <w:pStyle w:val="RAN4proposal"/>
      </w:pPr>
      <w:bookmarkStart w:id="7" w:name="_Toc197703665"/>
      <w:r>
        <w:t>Indicate to RAN2 that 6 SMTCs are feasible and maintain the requirements applicable if the support of up to 6 SMTCs is made mandatory or if there is a prioritization across the different SMTCs.</w:t>
      </w:r>
      <w:bookmarkEnd w:id="7"/>
    </w:p>
    <w:p w14:paraId="6C7EC411" w14:textId="46BD7859" w:rsidR="00283CEA" w:rsidRDefault="009920F1" w:rsidP="009062D9">
      <w:pPr>
        <w:pStyle w:val="RAN4proposal"/>
      </w:pPr>
      <w:r>
        <w:t>Approve the LS reply provided in the Annex of this paper.</w:t>
      </w:r>
      <w:r w:rsidR="00FF2D73">
        <w:t xml:space="preserve"> </w:t>
      </w:r>
    </w:p>
    <w:p w14:paraId="36FADC82" w14:textId="32C36CBC" w:rsidR="00FF2D73" w:rsidRDefault="00FF2D73" w:rsidP="009062D9">
      <w:r>
        <w:t>Based on the discussion above, it becomes even more important that UEs that support the coverage enhancement feature support multiple SMTC configurations. This issue was addressed in the previous WF as follows:</w:t>
      </w:r>
    </w:p>
    <w:tbl>
      <w:tblPr>
        <w:tblStyle w:val="TableGrid"/>
        <w:tblW w:w="0" w:type="auto"/>
        <w:tblLook w:val="04A0" w:firstRow="1" w:lastRow="0" w:firstColumn="1" w:lastColumn="0" w:noHBand="0" w:noVBand="1"/>
      </w:tblPr>
      <w:tblGrid>
        <w:gridCol w:w="9617"/>
      </w:tblGrid>
      <w:tr w:rsidR="00FF2D73" w14:paraId="5D331625" w14:textId="77777777" w:rsidTr="00FF2D73">
        <w:tc>
          <w:tcPr>
            <w:tcW w:w="9617" w:type="dxa"/>
          </w:tcPr>
          <w:p w14:paraId="03008DAF" w14:textId="77777777" w:rsidR="00FF2D73" w:rsidRPr="00FF2D73" w:rsidRDefault="00FF2D73" w:rsidP="00FF2D73">
            <w:pPr>
              <w:numPr>
                <w:ilvl w:val="0"/>
                <w:numId w:val="31"/>
              </w:numPr>
            </w:pPr>
            <w:r w:rsidRPr="00FF2D73">
              <w:lastRenderedPageBreak/>
              <w:t>Further discuss the following if the decision needs to be made in RAN4 RRM:</w:t>
            </w:r>
          </w:p>
          <w:p w14:paraId="474833FD" w14:textId="77777777" w:rsidR="00FF2D73" w:rsidRPr="00FF2D73" w:rsidRDefault="00FF2D73" w:rsidP="00FF2D73">
            <w:pPr>
              <w:numPr>
                <w:ilvl w:val="1"/>
                <w:numId w:val="31"/>
              </w:numPr>
            </w:pPr>
            <w:r w:rsidRPr="00FF2D73">
              <w:t>For UEs supporting DL-CE feature in NR Rel-19, it shall be mandatory the support to 4 SMTCs per frequency layer</w:t>
            </w:r>
          </w:p>
          <w:p w14:paraId="2C052A43" w14:textId="77777777" w:rsidR="00FF2D73" w:rsidRDefault="00FF2D73" w:rsidP="00FF2D73"/>
        </w:tc>
      </w:tr>
    </w:tbl>
    <w:p w14:paraId="56391BE5" w14:textId="79663EE2" w:rsidR="00FF2D73" w:rsidRDefault="00FF2D73" w:rsidP="009062D9">
      <w:r>
        <w:t>And based on all above we propose:</w:t>
      </w:r>
    </w:p>
    <w:p w14:paraId="10213C9C" w14:textId="6DCB1FEB" w:rsidR="00FF2D73" w:rsidRPr="00FF2D73" w:rsidRDefault="00FF2D73" w:rsidP="00FF2D73">
      <w:pPr>
        <w:pStyle w:val="RAN4proposal"/>
      </w:pPr>
      <w:bookmarkStart w:id="8" w:name="_Toc197703666"/>
      <w:r w:rsidRPr="00FF2D73">
        <w:t>For UEs supporting DL-CE feature in NR Rel-19, it shall be mandatory the support</w:t>
      </w:r>
      <w:r>
        <w:t xml:space="preserve"> at least</w:t>
      </w:r>
      <w:r w:rsidRPr="00FF2D73">
        <w:t xml:space="preserve"> 4 SMTCs per frequency layer</w:t>
      </w:r>
      <w:bookmarkEnd w:id="8"/>
    </w:p>
    <w:p w14:paraId="5B88EAAE" w14:textId="77777777" w:rsidR="00FF2D73" w:rsidRDefault="00FF2D73" w:rsidP="009062D9"/>
    <w:p w14:paraId="5897FBD0" w14:textId="01B19F0C" w:rsidR="00307EE8" w:rsidRPr="009062D9" w:rsidRDefault="00FF2D73" w:rsidP="00307EE8">
      <w:pPr>
        <w:pStyle w:val="RAN4H2"/>
      </w:pPr>
      <w:r>
        <w:t>RRC Re-establishment</w:t>
      </w:r>
    </w:p>
    <w:p w14:paraId="59A443FC" w14:textId="628E556E" w:rsidR="0089210C" w:rsidRDefault="00FF2D73" w:rsidP="005C23A4">
      <w:r>
        <w:t>One issue was left for further discussion when discussing the RRC re-establishment:</w:t>
      </w:r>
    </w:p>
    <w:tbl>
      <w:tblPr>
        <w:tblStyle w:val="TableGrid"/>
        <w:tblW w:w="0" w:type="auto"/>
        <w:tblLook w:val="04A0" w:firstRow="1" w:lastRow="0" w:firstColumn="1" w:lastColumn="0" w:noHBand="0" w:noVBand="1"/>
      </w:tblPr>
      <w:tblGrid>
        <w:gridCol w:w="9617"/>
      </w:tblGrid>
      <w:tr w:rsidR="00FF2D73" w14:paraId="1B2E0488" w14:textId="77777777" w:rsidTr="00FF2D73">
        <w:tc>
          <w:tcPr>
            <w:tcW w:w="9617" w:type="dxa"/>
          </w:tcPr>
          <w:p w14:paraId="37819EFF" w14:textId="77777777" w:rsidR="00FF2D73" w:rsidRPr="00FF2D73" w:rsidRDefault="00FF2D73" w:rsidP="00FF2D73">
            <w:pPr>
              <w:numPr>
                <w:ilvl w:val="0"/>
                <w:numId w:val="31"/>
              </w:numPr>
            </w:pPr>
            <w:r w:rsidRPr="00FF2D73">
              <w:t>The requirements for intra-frequency and inter-frequency RRC re-establishment are applicable provided that the configured SMTC period is not shorter than the periodicity of the actual SSB transmission of the target cell.</w:t>
            </w:r>
          </w:p>
          <w:p w14:paraId="5095BAD9" w14:textId="77777777" w:rsidR="00FF2D73" w:rsidRDefault="00FF2D73" w:rsidP="005C23A4"/>
        </w:tc>
      </w:tr>
    </w:tbl>
    <w:p w14:paraId="34404220" w14:textId="77777777" w:rsidR="00FF2D73" w:rsidRDefault="00FF2D73" w:rsidP="005C23A4"/>
    <w:p w14:paraId="1B075940" w14:textId="3B99147E" w:rsidR="002872A9" w:rsidRDefault="002872A9" w:rsidP="002872A9">
      <w:pPr>
        <w:rPr>
          <w:lang w:val="en-US"/>
        </w:rPr>
      </w:pPr>
      <w:r>
        <w:t>According to previous RAN4 discussions and considering that RAN2 has not firmly agreed in anything regarding their signalling framework, in the case of multiple SSB periodicities in one frequency layer,</w:t>
      </w:r>
      <w:r w:rsidR="00FF2D73">
        <w:t xml:space="preserve"> there might be cases where the SSB periodicity of different </w:t>
      </w:r>
      <w:proofErr w:type="spellStart"/>
      <w:r w:rsidR="00FF2D73">
        <w:t>neighbor</w:t>
      </w:r>
      <w:proofErr w:type="spellEnd"/>
      <w:r w:rsidR="00FF2D73">
        <w:t xml:space="preserve"> cells is </w:t>
      </w:r>
      <w:r>
        <w:t xml:space="preserve">not the same. </w:t>
      </w:r>
      <w:r>
        <w:rPr>
          <w:lang w:val="en-US"/>
        </w:rPr>
        <w:t xml:space="preserve">In our perspective, it is unfair to require the UEs to finish the measurement in neighbor cells based on the number of SMTC occasions, when only one fraction of the occasions </w:t>
      </w:r>
      <w:proofErr w:type="gramStart"/>
      <w:r>
        <w:rPr>
          <w:lang w:val="en-US"/>
        </w:rPr>
        <w:t>are</w:t>
      </w:r>
      <w:proofErr w:type="gramEnd"/>
      <w:r>
        <w:rPr>
          <w:lang w:val="en-US"/>
        </w:rPr>
        <w:t xml:space="preserve"> overlapping with the cells SSBs. </w:t>
      </w:r>
    </w:p>
    <w:p w14:paraId="03F7B5AF" w14:textId="77777777" w:rsidR="002872A9" w:rsidRDefault="002872A9" w:rsidP="002872A9">
      <w:pPr>
        <w:rPr>
          <w:lang w:val="en-US"/>
        </w:rPr>
      </w:pPr>
      <w:r>
        <w:rPr>
          <w:lang w:val="en-US"/>
        </w:rPr>
        <w:t>Therefore, we propose:</w:t>
      </w:r>
    </w:p>
    <w:p w14:paraId="1EB41306" w14:textId="3CED4137" w:rsidR="002872A9" w:rsidRPr="00D62E12" w:rsidRDefault="002872A9" w:rsidP="002872A9">
      <w:pPr>
        <w:pStyle w:val="RAN4proposal"/>
        <w:rPr>
          <w:b w:val="0"/>
        </w:rPr>
      </w:pPr>
      <w:bookmarkStart w:id="9" w:name="_Toc194071126"/>
      <w:bookmarkStart w:id="10" w:name="_Toc197703667"/>
      <w:r>
        <w:rPr>
          <w:b w:val="0"/>
        </w:rPr>
        <w:t>For the cases where the SSB periodicity is larger than the SSB periodicity of the cell to be measured, the SMTC period to be considered is the period of SMTC occasions overlapping with SSBs of this cell</w:t>
      </w:r>
      <w:bookmarkEnd w:id="9"/>
      <w:bookmarkEnd w:id="10"/>
    </w:p>
    <w:p w14:paraId="0ECB9E9B" w14:textId="77777777" w:rsidR="002872A9" w:rsidRPr="002872A9" w:rsidRDefault="002872A9" w:rsidP="002872A9">
      <w:pPr>
        <w:pStyle w:val="RAN4H2"/>
        <w:rPr>
          <w:rFonts w:eastAsia="SimSun"/>
          <w:sz w:val="36"/>
        </w:rPr>
      </w:pPr>
      <w:bookmarkStart w:id="11" w:name="_Toc116995848"/>
      <w:r>
        <w:t>Paging</w:t>
      </w:r>
    </w:p>
    <w:p w14:paraId="67264192" w14:textId="77777777" w:rsidR="002872A9" w:rsidRDefault="002872A9" w:rsidP="002872A9">
      <w:pPr>
        <w:rPr>
          <w:lang w:val="en-US"/>
        </w:rPr>
      </w:pPr>
      <w:r>
        <w:rPr>
          <w:lang w:val="en-US"/>
        </w:rPr>
        <w:t>Paging interruption requirements state that:</w:t>
      </w:r>
    </w:p>
    <w:tbl>
      <w:tblPr>
        <w:tblStyle w:val="TableGrid"/>
        <w:tblW w:w="0" w:type="auto"/>
        <w:tblLook w:val="04A0" w:firstRow="1" w:lastRow="0" w:firstColumn="1" w:lastColumn="0" w:noHBand="0" w:noVBand="1"/>
      </w:tblPr>
      <w:tblGrid>
        <w:gridCol w:w="9617"/>
      </w:tblGrid>
      <w:tr w:rsidR="002872A9" w14:paraId="5EA31990" w14:textId="77777777" w:rsidTr="00D62E12">
        <w:tc>
          <w:tcPr>
            <w:tcW w:w="9617" w:type="dxa"/>
          </w:tcPr>
          <w:p w14:paraId="41AE5D93" w14:textId="77777777" w:rsidR="002872A9" w:rsidRPr="009C5807" w:rsidRDefault="002872A9" w:rsidP="00D62E12">
            <w:pPr>
              <w:pStyle w:val="Heading4"/>
            </w:pPr>
            <w:r w:rsidRPr="009C5807">
              <w:t>4.2</w:t>
            </w:r>
            <w:r>
              <w:t>C</w:t>
            </w:r>
            <w:r w:rsidRPr="009C5807">
              <w:t>.2.</w:t>
            </w:r>
            <w:r>
              <w:t>5</w:t>
            </w:r>
            <w:r w:rsidRPr="009C5807">
              <w:tab/>
              <w:t>Maximum interruption in paging reception</w:t>
            </w:r>
          </w:p>
          <w:p w14:paraId="59489A95" w14:textId="77777777" w:rsidR="002872A9" w:rsidRDefault="002872A9" w:rsidP="00D62E12">
            <w:pPr>
              <w:rPr>
                <w:lang w:eastAsia="ko-KR"/>
              </w:rPr>
            </w:pPr>
            <w:r w:rsidRPr="009C5807">
              <w:rPr>
                <w:lang w:eastAsia="ko-KR"/>
              </w:rPr>
              <w:t>UE shall perform the cell re-selection with minimum interruption in monitoring downlink channels for paging reception.</w:t>
            </w:r>
          </w:p>
          <w:p w14:paraId="515F1939" w14:textId="77777777" w:rsidR="002872A9" w:rsidRDefault="002872A9" w:rsidP="00D62E12">
            <w:pPr>
              <w:rPr>
                <w:lang w:eastAsia="ko-KR"/>
              </w:rPr>
            </w:pPr>
            <w:r w:rsidRPr="009C5807">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w:t>
            </w:r>
            <w:r w:rsidRPr="00163BD7">
              <w:rPr>
                <w:highlight w:val="yellow"/>
                <w:lang w:eastAsia="ko-KR"/>
              </w:rPr>
              <w:t>The interruption time shall not exceed T</w:t>
            </w:r>
            <w:r w:rsidRPr="00163BD7">
              <w:rPr>
                <w:highlight w:val="yellow"/>
                <w:vertAlign w:val="subscript"/>
                <w:lang w:eastAsia="ko-KR"/>
              </w:rPr>
              <w:t xml:space="preserve">SI-NR </w:t>
            </w:r>
            <w:r w:rsidRPr="00163BD7">
              <w:rPr>
                <w:highlight w:val="yellow"/>
                <w:lang w:eastAsia="ko-KR"/>
              </w:rPr>
              <w:t>+ K*</w:t>
            </w:r>
            <w:proofErr w:type="spellStart"/>
            <w:r w:rsidRPr="00163BD7">
              <w:rPr>
                <w:highlight w:val="yellow"/>
              </w:rPr>
              <w:t>T</w:t>
            </w:r>
            <w:r w:rsidRPr="00163BD7">
              <w:rPr>
                <w:highlight w:val="yellow"/>
                <w:vertAlign w:val="subscript"/>
              </w:rPr>
              <w:t>target_cell_SMTC_period</w:t>
            </w:r>
            <w:proofErr w:type="spellEnd"/>
            <w:r w:rsidRPr="00163BD7">
              <w:rPr>
                <w:highlight w:val="yellow"/>
                <w:vertAlign w:val="subscript"/>
              </w:rPr>
              <w:t xml:space="preserve"> </w:t>
            </w:r>
            <w:proofErr w:type="spellStart"/>
            <w:r w:rsidRPr="00163BD7">
              <w:rPr>
                <w:highlight w:val="yellow"/>
                <w:lang w:eastAsia="ko-KR"/>
              </w:rPr>
              <w:t>ms</w:t>
            </w:r>
            <w:proofErr w:type="spellEnd"/>
            <w:r w:rsidRPr="00163BD7">
              <w:rPr>
                <w:highlight w:val="yellow"/>
                <w:lang w:eastAsia="ko-KR"/>
              </w:rPr>
              <w:t>.</w:t>
            </w:r>
            <w:r w:rsidRPr="00250E36">
              <w:rPr>
                <w:lang w:eastAsia="ko-KR"/>
              </w:rPr>
              <w:t xml:space="preserve"> </w:t>
            </w:r>
          </w:p>
          <w:p w14:paraId="48578A68" w14:textId="77777777" w:rsidR="002872A9" w:rsidRDefault="002872A9" w:rsidP="00D62E12">
            <w:pPr>
              <w:rPr>
                <w:lang w:eastAsia="ko-KR"/>
              </w:rPr>
            </w:pPr>
            <w:proofErr w:type="gramStart"/>
            <w:r>
              <w:rPr>
                <w:lang w:eastAsia="ko-KR"/>
              </w:rPr>
              <w:t>Where</w:t>
            </w:r>
            <w:proofErr w:type="gramEnd"/>
            <w:r>
              <w:rPr>
                <w:lang w:eastAsia="ko-KR"/>
              </w:rPr>
              <w:t>,</w:t>
            </w:r>
          </w:p>
          <w:p w14:paraId="6165846E" w14:textId="77777777" w:rsidR="002872A9" w:rsidRDefault="002872A9" w:rsidP="00D62E12">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0E966933" w14:textId="77777777" w:rsidR="002872A9" w:rsidRDefault="002872A9" w:rsidP="00D62E12">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3B4E78F5" w14:textId="77777777" w:rsidR="002872A9" w:rsidRPr="003D1200" w:rsidRDefault="002872A9" w:rsidP="00D62E12">
            <w:pPr>
              <w:rPr>
                <w:rFonts w:eastAsia="Malgun Gothic"/>
                <w:lang w:eastAsia="ko-KR"/>
              </w:rPr>
            </w:pPr>
            <w:r>
              <w:rPr>
                <w:lang w:eastAsia="ko-KR"/>
              </w:rPr>
              <w:t>If the target cell belongs to a different satellite than the current one and the target cell’s satellite is non-GEO</w:t>
            </w:r>
            <w:r w:rsidRPr="00163BD7">
              <w:rPr>
                <w:highlight w:val="green"/>
                <w:lang w:eastAsia="ko-KR"/>
              </w:rPr>
              <w:t>, then K = 5</w:t>
            </w:r>
            <w:r w:rsidRPr="003C0ABF">
              <w:rPr>
                <w:lang w:eastAsia="ko-KR"/>
              </w:rPr>
              <w:t xml:space="preserve"> </w:t>
            </w:r>
            <w:r>
              <w:rPr>
                <w:lang w:eastAsia="ko-KR"/>
              </w:rPr>
              <w:t>if the target cell is known</w:t>
            </w:r>
            <w:r w:rsidRPr="00D53154">
              <w:rPr>
                <w:lang w:eastAsia="ko-KR"/>
              </w:rPr>
              <w:t>.</w:t>
            </w:r>
          </w:p>
          <w:p w14:paraId="4C832805" w14:textId="77777777" w:rsidR="002872A9" w:rsidRPr="00163BD7" w:rsidRDefault="002872A9" w:rsidP="00D62E12"/>
        </w:tc>
      </w:tr>
    </w:tbl>
    <w:p w14:paraId="321889AC" w14:textId="77777777" w:rsidR="002872A9" w:rsidRDefault="002872A9" w:rsidP="002872A9">
      <w:pPr>
        <w:rPr>
          <w:lang w:val="en-US"/>
        </w:rPr>
      </w:pPr>
    </w:p>
    <w:p w14:paraId="72665596" w14:textId="77777777" w:rsidR="002872A9" w:rsidRDefault="002872A9" w:rsidP="002872A9">
      <w:pPr>
        <w:rPr>
          <w:lang w:eastAsia="ko-KR"/>
        </w:rPr>
      </w:pPr>
      <w:r>
        <w:rPr>
          <w:lang w:val="en-US"/>
        </w:rPr>
        <w:t xml:space="preserve">The multiplying factor is added to create to allow the UE to have enough time to acquire DL synchronization to the target cell, </w:t>
      </w:r>
      <w:proofErr w:type="gramStart"/>
      <w:r>
        <w:rPr>
          <w:lang w:val="en-US"/>
        </w:rPr>
        <w:t>in order to</w:t>
      </w:r>
      <w:proofErr w:type="gramEnd"/>
      <w:r>
        <w:rPr>
          <w:lang w:val="en-US"/>
        </w:rPr>
        <w:t xml:space="preserve"> be capable </w:t>
      </w:r>
      <w:proofErr w:type="gramStart"/>
      <w:r>
        <w:rPr>
          <w:lang w:val="en-US"/>
        </w:rPr>
        <w:t>to receive</w:t>
      </w:r>
      <w:proofErr w:type="gramEnd"/>
      <w:r>
        <w:rPr>
          <w:lang w:val="en-US"/>
        </w:rPr>
        <w:t xml:space="preserve"> the paging messages. However, if a non-GEO target cell is used the current multiplying factor is equal to 5, which was justifiable with short SSB configurations, however, if the same scaling factor is maintained when the SSB periods is equal to 160 </w:t>
      </w:r>
      <w:proofErr w:type="spellStart"/>
      <w:r>
        <w:rPr>
          <w:lang w:val="en-US"/>
        </w:rPr>
        <w:t>ms</w:t>
      </w:r>
      <w:proofErr w:type="spellEnd"/>
      <w:r>
        <w:rPr>
          <w:lang w:val="en-US"/>
        </w:rPr>
        <w:t xml:space="preserve">, the total interruption time will be given by: 5*160=900ms + </w:t>
      </w:r>
      <w:r w:rsidRPr="009C5807">
        <w:rPr>
          <w:lang w:eastAsia="ko-KR"/>
        </w:rPr>
        <w:t>T</w:t>
      </w:r>
      <w:r w:rsidRPr="009C5807">
        <w:rPr>
          <w:vertAlign w:val="subscript"/>
          <w:lang w:eastAsia="ko-KR"/>
        </w:rPr>
        <w:t>SI-NR</w:t>
      </w:r>
      <w:r>
        <w:rPr>
          <w:vertAlign w:val="subscript"/>
          <w:lang w:eastAsia="ko-KR"/>
        </w:rPr>
        <w:t xml:space="preserve"> </w:t>
      </w:r>
      <w:r>
        <w:rPr>
          <w:lang w:eastAsia="ko-KR"/>
        </w:rPr>
        <w:t xml:space="preserve">might be expected, which may exceed 1 second of interruption in a system with already very long natural interruption times due to cell DTX. </w:t>
      </w:r>
    </w:p>
    <w:p w14:paraId="5AEE4DFB" w14:textId="77777777" w:rsidR="002872A9" w:rsidRDefault="002872A9" w:rsidP="002872A9">
      <w:pPr>
        <w:rPr>
          <w:lang w:eastAsia="ko-KR"/>
        </w:rPr>
      </w:pPr>
      <w:r>
        <w:rPr>
          <w:lang w:eastAsia="ko-KR"/>
        </w:rPr>
        <w:t>Therefore, we propose that:</w:t>
      </w:r>
    </w:p>
    <w:p w14:paraId="03328502" w14:textId="77777777" w:rsidR="002872A9" w:rsidRPr="00D93EF4" w:rsidRDefault="002872A9" w:rsidP="002872A9">
      <w:pPr>
        <w:pStyle w:val="RAN4proposal"/>
        <w:rPr>
          <w:lang w:val="en-US"/>
        </w:rPr>
      </w:pPr>
      <w:bookmarkStart w:id="12" w:name="_Toc181988990"/>
      <w:bookmarkStart w:id="13" w:name="_Toc189842558"/>
      <w:bookmarkStart w:id="14" w:name="_Toc194071127"/>
      <w:bookmarkStart w:id="15" w:name="_Toc197703668"/>
      <w:r>
        <w:rPr>
          <w:lang w:val="en-US"/>
        </w:rPr>
        <w:t xml:space="preserve">Adjust the paging interruption requirements when SSB periods equal or larger 160 </w:t>
      </w:r>
      <w:proofErr w:type="spellStart"/>
      <w:r>
        <w:rPr>
          <w:lang w:val="en-US"/>
        </w:rPr>
        <w:t>ms</w:t>
      </w:r>
      <w:proofErr w:type="spellEnd"/>
      <w:r>
        <w:rPr>
          <w:lang w:val="en-US"/>
        </w:rPr>
        <w:t xml:space="preserve"> are used in NGSO scenarios.</w:t>
      </w:r>
      <w:bookmarkEnd w:id="12"/>
      <w:bookmarkEnd w:id="13"/>
      <w:bookmarkEnd w:id="14"/>
      <w:bookmarkEnd w:id="15"/>
      <w:r>
        <w:rPr>
          <w:lang w:val="en-US"/>
        </w:rPr>
        <w:t xml:space="preserve"> </w:t>
      </w:r>
    </w:p>
    <w:p w14:paraId="7F984241" w14:textId="3186788E" w:rsidR="00893D2E" w:rsidRPr="008F786B" w:rsidRDefault="00893D2E" w:rsidP="002872A9">
      <w:pPr>
        <w:pStyle w:val="RAN4H2"/>
        <w:rPr>
          <w:rFonts w:eastAsia="SimSun"/>
          <w:sz w:val="36"/>
        </w:rPr>
      </w:pPr>
      <w:r w:rsidRPr="008F786B">
        <w:lastRenderedPageBreak/>
        <w:br w:type="page"/>
      </w:r>
    </w:p>
    <w:p w14:paraId="0F32B173" w14:textId="77777777" w:rsidR="00CD7492" w:rsidRPr="008F786B" w:rsidRDefault="00CD7492" w:rsidP="00A37002">
      <w:pPr>
        <w:pStyle w:val="RAN4H1"/>
      </w:pPr>
      <w:r w:rsidRPr="008F786B">
        <w:lastRenderedPageBreak/>
        <w:t>Conclusion</w:t>
      </w:r>
      <w:bookmarkEnd w:id="11"/>
    </w:p>
    <w:p w14:paraId="26CE49BE" w14:textId="7F5B15DC" w:rsidR="00381F95" w:rsidRPr="002B6B92" w:rsidRDefault="002B6B92" w:rsidP="00936159">
      <w:r w:rsidRPr="002B6B92">
        <w:t>In this paper we discussed the impact of the new measurement framework proposed by RAN2 and RAN1 to handle the extended SSB periodicity in NTN under the topic of DL coverage enhancements. Based on our discussion and analysis, we made the following list of proposals:</w:t>
      </w:r>
    </w:p>
    <w:p w14:paraId="52EFC401" w14:textId="77777777" w:rsidR="00381F95" w:rsidRPr="002872A9" w:rsidRDefault="00381F95" w:rsidP="00936159">
      <w:pPr>
        <w:rPr>
          <w:highlight w:val="yellow"/>
        </w:rPr>
      </w:pPr>
    </w:p>
    <w:p w14:paraId="028A4941" w14:textId="77777777" w:rsidR="002B6B92" w:rsidRDefault="00A4355E">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7703663" w:history="1">
        <w:r w:rsidR="002B6B92" w:rsidRPr="00FA6C6E">
          <w:rPr>
            <w:rStyle w:val="Hyperlink"/>
            <w:noProof/>
          </w:rPr>
          <w:t>Proposal 1: Notify RAN2 that as long as the PCI list for one of the SMTC periodicities is provided and the two SMTC periodicities are multiple of each other, then the feature is feasible from RAN4 point of view.</w:t>
        </w:r>
      </w:hyperlink>
    </w:p>
    <w:p w14:paraId="0E28EDC6" w14:textId="77777777" w:rsidR="002B6B92" w:rsidRDefault="002B6B9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703664" w:history="1">
        <w:r w:rsidRPr="00FA6C6E">
          <w:rPr>
            <w:rStyle w:val="Hyperlink"/>
            <w:noProof/>
          </w:rPr>
          <w:t>Proposal 2: Indicate to RAN2 that when 6 SMTC windows are configured, the cell reselection requirements will not be applicable if the UEs do not support 6 configured SMTC windows.</w:t>
        </w:r>
      </w:hyperlink>
    </w:p>
    <w:p w14:paraId="53369062" w14:textId="77777777" w:rsidR="002B6B92" w:rsidRDefault="002B6B9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703665" w:history="1">
        <w:r w:rsidRPr="00FA6C6E">
          <w:rPr>
            <w:rStyle w:val="Hyperlink"/>
            <w:noProof/>
          </w:rPr>
          <w:t>Proposal 3: Indicate to RAN2 that 6 SMTCs are feasible and maintain the requirements applicable if the support of up to 6 SMTCs is made mandatory or if there is a prioritization across the different SMTCs.</w:t>
        </w:r>
      </w:hyperlink>
    </w:p>
    <w:p w14:paraId="6F4DED12" w14:textId="77777777" w:rsidR="002B6B92" w:rsidRDefault="002B6B9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703666" w:history="1">
        <w:r w:rsidRPr="00FA6C6E">
          <w:rPr>
            <w:rStyle w:val="Hyperlink"/>
            <w:noProof/>
          </w:rPr>
          <w:t>Proposal 4: For UEs supporting DL-CE feature in NR Rel-19, it shall be mandatory the support at least 4 SMTCs per frequency layer</w:t>
        </w:r>
      </w:hyperlink>
    </w:p>
    <w:p w14:paraId="1B8CB3D7" w14:textId="77777777" w:rsidR="002B6B92" w:rsidRDefault="002B6B9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703667" w:history="1">
        <w:r w:rsidRPr="00FA6C6E">
          <w:rPr>
            <w:rStyle w:val="Hyperlink"/>
            <w:noProof/>
          </w:rPr>
          <w:t>Proposal 5: For the cases where the SSB periodicity is larger than the SSB periodicity of the cell to be measured, the SMTC period to be considered is the period of SMTC occasions overlapping with SSBs of this cell</w:t>
        </w:r>
      </w:hyperlink>
    </w:p>
    <w:p w14:paraId="7FDC12F2" w14:textId="77777777" w:rsidR="002B6B92" w:rsidRDefault="002B6B92">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97703668" w:history="1">
        <w:r w:rsidRPr="00FA6C6E">
          <w:rPr>
            <w:rStyle w:val="Hyperlink"/>
            <w:noProof/>
            <w:lang w:val="en-US"/>
          </w:rPr>
          <w:t>Proposal 6: Adjust the paging interruption requirements when SSB periods equal or larger 160 ms are used in NGSO scenarios.</w:t>
        </w:r>
      </w:hyperlink>
    </w:p>
    <w:p w14:paraId="7DF8C3E5" w14:textId="38CFD7EF" w:rsidR="00847264" w:rsidRPr="008F786B" w:rsidRDefault="00A4355E" w:rsidP="008C39F7">
      <w:r w:rsidRPr="008F786B">
        <w:fldChar w:fldCharType="end"/>
      </w:r>
      <w:bookmarkStart w:id="16" w:name="_Toc116995849"/>
    </w:p>
    <w:p w14:paraId="4B8014E9" w14:textId="77777777" w:rsidR="003B659E" w:rsidRPr="008F786B" w:rsidRDefault="003B659E" w:rsidP="0060543D">
      <w:pPr>
        <w:pStyle w:val="RAN4H1"/>
        <w:numPr>
          <w:ilvl w:val="0"/>
          <w:numId w:val="0"/>
        </w:numPr>
        <w:ind w:left="360" w:hanging="360"/>
      </w:pPr>
      <w:r w:rsidRPr="008F786B">
        <w:t>References</w:t>
      </w:r>
      <w:bookmarkEnd w:id="16"/>
    </w:p>
    <w:p w14:paraId="30C24A1A" w14:textId="77777777" w:rsidR="007A5589" w:rsidRDefault="007A5589" w:rsidP="007A5589">
      <w:pPr>
        <w:pStyle w:val="ListParagraph"/>
        <w:numPr>
          <w:ilvl w:val="0"/>
          <w:numId w:val="21"/>
        </w:numPr>
        <w:ind w:right="-22"/>
        <w:rPr>
          <w:lang w:val="en-US"/>
        </w:rPr>
      </w:pPr>
      <w:bookmarkStart w:id="17" w:name="_Ref114500673"/>
      <w:bookmarkStart w:id="18" w:name="_Ref178945353"/>
      <w:bookmarkEnd w:id="17"/>
      <w:r w:rsidRPr="00E42B45">
        <w:rPr>
          <w:lang w:val="en-US"/>
        </w:rPr>
        <w:t>RP-234078, New WID: Non-Terrestrial Networks (NTN) for NR Phase 3, Huawei</w:t>
      </w:r>
      <w:bookmarkEnd w:id="18"/>
    </w:p>
    <w:p w14:paraId="28A18DE1" w14:textId="77777777" w:rsidR="007A5589" w:rsidRDefault="007A5589" w:rsidP="007A5589">
      <w:pPr>
        <w:pStyle w:val="ListParagraph"/>
        <w:numPr>
          <w:ilvl w:val="0"/>
          <w:numId w:val="21"/>
        </w:numPr>
        <w:ind w:right="-22"/>
        <w:rPr>
          <w:lang w:val="en-US"/>
        </w:rPr>
      </w:pPr>
      <w:bookmarkStart w:id="19" w:name="_Ref178945346"/>
      <w:r w:rsidRPr="00E42B45">
        <w:rPr>
          <w:lang w:val="en-US"/>
        </w:rPr>
        <w:t>RP-241789</w:t>
      </w:r>
      <w:r>
        <w:rPr>
          <w:lang w:val="en-US"/>
        </w:rPr>
        <w:t xml:space="preserve"> </w:t>
      </w:r>
      <w:r w:rsidRPr="00E42B45">
        <w:rPr>
          <w:lang w:val="en-US"/>
        </w:rPr>
        <w:t>Revised WID: Non-Terrestrial Networks (NTN) for NR Phase 3, Thales, CATT</w:t>
      </w:r>
      <w:bookmarkEnd w:id="19"/>
    </w:p>
    <w:p w14:paraId="58CCC0B0" w14:textId="6565A0B2" w:rsidR="007A5589" w:rsidRPr="00A63DFB" w:rsidRDefault="007A5589" w:rsidP="007A5589">
      <w:pPr>
        <w:pStyle w:val="ListParagraph"/>
        <w:numPr>
          <w:ilvl w:val="0"/>
          <w:numId w:val="21"/>
        </w:numPr>
        <w:ind w:right="-22"/>
        <w:rPr>
          <w:bCs/>
          <w:lang w:val="en-US"/>
        </w:rPr>
      </w:pPr>
      <w:bookmarkStart w:id="20" w:name="_Ref178945761"/>
      <w:bookmarkStart w:id="21" w:name="_Ref197437312"/>
      <w:r w:rsidRPr="007A5589">
        <w:rPr>
          <w:lang w:val="en-US"/>
        </w:rPr>
        <w:t>R4-2504913</w:t>
      </w:r>
      <w:r w:rsidRPr="00570158">
        <w:t xml:space="preserve">, </w:t>
      </w:r>
      <w:r w:rsidRPr="00570158">
        <w:rPr>
          <w:i/>
          <w:iCs/>
        </w:rPr>
        <w:t>"</w:t>
      </w:r>
      <w:r w:rsidRPr="00155255">
        <w:rPr>
          <w:rFonts w:ascii="Arial" w:eastAsia="MS Mincho" w:hAnsi="Arial" w:cs="Arial"/>
          <w:bCs/>
          <w:sz w:val="22"/>
          <w:szCs w:val="20"/>
        </w:rPr>
        <w:t xml:space="preserve"> </w:t>
      </w:r>
      <w:r w:rsidRPr="00155255">
        <w:rPr>
          <w:bCs/>
          <w:i/>
          <w:iCs/>
        </w:rPr>
        <w:t>WF on RRM requirements for NR_NTN_Ph3_Part2</w:t>
      </w:r>
      <w:r w:rsidRPr="00155255">
        <w:rPr>
          <w:i/>
          <w:iCs/>
        </w:rPr>
        <w:t>"</w:t>
      </w:r>
      <w:r w:rsidRPr="00570158">
        <w:t xml:space="preserve">, </w:t>
      </w:r>
      <w:r w:rsidRPr="00155255">
        <w:t>Moderator (Qualcomm Incorporated)</w:t>
      </w:r>
      <w:r>
        <w:t xml:space="preserve">, </w:t>
      </w:r>
      <w:r w:rsidRPr="00570158">
        <w:t>RAN4 #</w:t>
      </w:r>
      <w:r w:rsidRPr="007A5589">
        <w:rPr>
          <w:rFonts w:cs="Arial"/>
          <w:noProof/>
          <w:sz w:val="24"/>
          <w:szCs w:val="24"/>
          <w:lang w:val="en-US" w:eastAsia="zh-CN"/>
        </w:rPr>
        <w:t xml:space="preserve"> </w:t>
      </w:r>
      <w:r w:rsidRPr="007A5589">
        <w:rPr>
          <w:lang w:val="en-US"/>
        </w:rPr>
        <w:t>114bis</w:t>
      </w:r>
      <w:r w:rsidRPr="00155255">
        <w:t xml:space="preserve"> </w:t>
      </w:r>
      <w:bookmarkEnd w:id="20"/>
      <w:r w:rsidRPr="007A5589">
        <w:t xml:space="preserve">Wuhan, Hubei, China, 07th – 11th </w:t>
      </w:r>
      <w:proofErr w:type="gramStart"/>
      <w:r w:rsidRPr="007A5589">
        <w:t>April,</w:t>
      </w:r>
      <w:proofErr w:type="gramEnd"/>
      <w:r w:rsidRPr="007A5589">
        <w:t xml:space="preserve"> 2025</w:t>
      </w:r>
      <w:bookmarkEnd w:id="21"/>
    </w:p>
    <w:p w14:paraId="58212979" w14:textId="7C96146C" w:rsidR="00E82B94" w:rsidRPr="008F786B" w:rsidRDefault="007A5589" w:rsidP="00D62E12">
      <w:pPr>
        <w:pStyle w:val="ListParagraph"/>
        <w:numPr>
          <w:ilvl w:val="0"/>
          <w:numId w:val="21"/>
        </w:numPr>
        <w:ind w:right="-22"/>
      </w:pPr>
      <w:bookmarkStart w:id="22" w:name="_Ref197437842"/>
      <w:r w:rsidRPr="007A5589">
        <w:t>R2-2503068</w:t>
      </w:r>
      <w:r>
        <w:t xml:space="preserve">, </w:t>
      </w:r>
      <w:r w:rsidRPr="007A5589">
        <w:t>LS on SMTC enhancements</w:t>
      </w:r>
      <w:r>
        <w:t xml:space="preserve">, </w:t>
      </w:r>
      <w:r w:rsidRPr="007A5589">
        <w:t>RAN WG2 Meeting #129bis</w:t>
      </w:r>
      <w:r>
        <w:t xml:space="preserve">, </w:t>
      </w:r>
      <w:r w:rsidRPr="007A5589">
        <w:t xml:space="preserve">Wuhan, China, 7 - 11 </w:t>
      </w:r>
      <w:proofErr w:type="gramStart"/>
      <w:r w:rsidRPr="007A5589">
        <w:t>Apr,</w:t>
      </w:r>
      <w:proofErr w:type="gramEnd"/>
      <w:r w:rsidRPr="007A5589">
        <w:t xml:space="preserve"> 2025</w:t>
      </w:r>
      <w:bookmarkEnd w:id="22"/>
    </w:p>
    <w:p w14:paraId="0EB70073" w14:textId="77777777" w:rsidR="00E43BF9" w:rsidRDefault="00E43BF9" w:rsidP="00E43BF9">
      <w:pPr>
        <w:ind w:right="-22"/>
      </w:pPr>
    </w:p>
    <w:p w14:paraId="3F0D00D0" w14:textId="77777777" w:rsidR="009E3C7C" w:rsidRDefault="009E3C7C" w:rsidP="00E43BF9">
      <w:pPr>
        <w:ind w:right="-22"/>
      </w:pPr>
    </w:p>
    <w:p w14:paraId="1CDC344A" w14:textId="77777777" w:rsidR="009E3C7C" w:rsidRDefault="009E3C7C" w:rsidP="00E43BF9">
      <w:pPr>
        <w:ind w:right="-22"/>
      </w:pPr>
    </w:p>
    <w:p w14:paraId="76724567" w14:textId="77777777" w:rsidR="009E3C7C" w:rsidRPr="008F786B" w:rsidRDefault="009E3C7C" w:rsidP="009E3C7C">
      <w:pPr>
        <w:pStyle w:val="RAN4H1"/>
        <w:numPr>
          <w:ilvl w:val="0"/>
          <w:numId w:val="0"/>
        </w:numPr>
        <w:ind w:left="360" w:hanging="360"/>
      </w:pPr>
      <w:r>
        <w:t>Annex</w:t>
      </w:r>
    </w:p>
    <w:p w14:paraId="18DD7828" w14:textId="77777777" w:rsidR="009E3C7C" w:rsidRDefault="009E3C7C" w:rsidP="009E3C7C">
      <w:pPr>
        <w:spacing w:after="60"/>
        <w:ind w:left="1985" w:hanging="1985"/>
        <w:rPr>
          <w:rFonts w:ascii="Arial" w:hAnsi="Arial" w:cs="Arial"/>
          <w:b/>
        </w:rPr>
      </w:pPr>
    </w:p>
    <w:p w14:paraId="03575434" w14:textId="77777777" w:rsidR="009E3C7C" w:rsidRDefault="009E3C7C" w:rsidP="009E3C7C">
      <w:pPr>
        <w:spacing w:after="60"/>
        <w:ind w:left="1985" w:hanging="1985"/>
        <w:rPr>
          <w:rFonts w:ascii="Arial" w:hAnsi="Arial" w:cs="Arial"/>
          <w:b/>
        </w:rPr>
      </w:pPr>
    </w:p>
    <w:p w14:paraId="4845EECF" w14:textId="02DD0A27" w:rsidR="009E3C7C" w:rsidRDefault="009E3C7C" w:rsidP="009E3C7C">
      <w:pPr>
        <w:spacing w:after="60"/>
        <w:ind w:left="1985" w:hanging="1985"/>
        <w:rPr>
          <w:rFonts w:ascii="Arial" w:hAnsi="Arial" w:cs="Arial"/>
          <w:b/>
        </w:rPr>
      </w:pPr>
      <w:r>
        <w:rPr>
          <w:rFonts w:ascii="Arial" w:hAnsi="Arial" w:cs="Arial"/>
          <w:b/>
        </w:rPr>
        <w:t>Title:</w:t>
      </w:r>
      <w:r>
        <w:rPr>
          <w:rFonts w:ascii="Arial" w:hAnsi="Arial" w:cs="Arial"/>
          <w:b/>
        </w:rPr>
        <w:tab/>
      </w:r>
      <w:r>
        <w:rPr>
          <w:rFonts w:ascii="Arial" w:hAnsi="Arial" w:cs="Arial"/>
          <w:b/>
        </w:rPr>
        <w:t>LS Reply related to SMTC enhancements for NR NTN UEs</w:t>
      </w:r>
    </w:p>
    <w:p w14:paraId="3DE76393" w14:textId="49F163F8" w:rsidR="009E3C7C" w:rsidRDefault="009E3C7C" w:rsidP="009E3C7C">
      <w:pPr>
        <w:spacing w:after="60"/>
        <w:ind w:left="1985" w:hanging="1985"/>
        <w:rPr>
          <w:rFonts w:ascii="Arial" w:hAnsi="Arial" w:cs="Arial"/>
          <w:b/>
          <w:bCs/>
        </w:rPr>
      </w:pPr>
      <w:bookmarkStart w:id="23" w:name="OLE_LINK58"/>
      <w:bookmarkStart w:id="24" w:name="OLE_LINK57"/>
      <w:r w:rsidRPr="00427B04">
        <w:rPr>
          <w:rFonts w:ascii="Arial" w:hAnsi="Arial" w:cs="Arial"/>
          <w:b/>
          <w:bCs/>
        </w:rPr>
        <w:t>Response to:</w:t>
      </w:r>
      <w:r>
        <w:rPr>
          <w:rFonts w:ascii="Arial" w:hAnsi="Arial" w:cs="Arial"/>
          <w:b/>
          <w:bCs/>
        </w:rPr>
        <w:tab/>
      </w:r>
      <w:r w:rsidRPr="009E3C7C">
        <w:rPr>
          <w:rFonts w:ascii="Arial" w:hAnsi="Arial" w:cs="Arial"/>
          <w:b/>
          <w:bCs/>
        </w:rPr>
        <w:t>R2-2503068</w:t>
      </w:r>
    </w:p>
    <w:p w14:paraId="70E3D936" w14:textId="77777777" w:rsidR="009E3C7C" w:rsidRDefault="009E3C7C" w:rsidP="009E3C7C">
      <w:pPr>
        <w:spacing w:after="60"/>
        <w:ind w:left="1985" w:hanging="1985"/>
        <w:rPr>
          <w:rFonts w:ascii="Arial" w:hAnsi="Arial" w:cs="Arial"/>
          <w:b/>
          <w:bCs/>
        </w:rPr>
      </w:pPr>
      <w:bookmarkStart w:id="25" w:name="OLE_LINK59"/>
      <w:bookmarkStart w:id="26" w:name="OLE_LINK60"/>
      <w:bookmarkStart w:id="27" w:name="OLE_LINK61"/>
      <w:bookmarkEnd w:id="23"/>
      <w:bookmarkEnd w:id="24"/>
      <w:r>
        <w:rPr>
          <w:rFonts w:ascii="Arial" w:hAnsi="Arial" w:cs="Arial"/>
          <w:b/>
        </w:rPr>
        <w:t>Release:</w:t>
      </w:r>
      <w:r>
        <w:rPr>
          <w:rFonts w:ascii="Arial" w:hAnsi="Arial" w:cs="Arial"/>
          <w:b/>
          <w:bCs/>
        </w:rPr>
        <w:tab/>
        <w:t>Rel-19</w:t>
      </w:r>
    </w:p>
    <w:bookmarkEnd w:id="25"/>
    <w:bookmarkEnd w:id="26"/>
    <w:bookmarkEnd w:id="27"/>
    <w:p w14:paraId="7010F283" w14:textId="77777777" w:rsidR="009E3C7C" w:rsidRDefault="009E3C7C" w:rsidP="009E3C7C">
      <w:pPr>
        <w:spacing w:after="60"/>
        <w:ind w:left="1985" w:hanging="1985"/>
        <w:rPr>
          <w:rFonts w:ascii="Arial" w:hAnsi="Arial" w:cs="Arial"/>
          <w:b/>
          <w:bCs/>
        </w:rPr>
      </w:pPr>
      <w:r>
        <w:rPr>
          <w:rFonts w:ascii="Arial" w:hAnsi="Arial" w:cs="Arial"/>
          <w:b/>
        </w:rPr>
        <w:t>Work Item:</w:t>
      </w:r>
      <w:r>
        <w:rPr>
          <w:rFonts w:ascii="Arial" w:hAnsi="Arial" w:cs="Arial"/>
          <w:b/>
          <w:bCs/>
        </w:rPr>
        <w:tab/>
      </w:r>
      <w:r w:rsidRPr="00E31A42">
        <w:rPr>
          <w:rFonts w:ascii="Arial" w:hAnsi="Arial" w:cs="Arial"/>
          <w:b/>
          <w:bCs/>
        </w:rPr>
        <w:t>NR_NTN_Ph3-Core</w:t>
      </w:r>
    </w:p>
    <w:p w14:paraId="55347C35" w14:textId="77777777" w:rsidR="009E3C7C" w:rsidRDefault="009E3C7C" w:rsidP="009E3C7C">
      <w:pPr>
        <w:spacing w:after="60"/>
        <w:ind w:left="1985" w:hanging="1985"/>
        <w:rPr>
          <w:rFonts w:ascii="Arial" w:hAnsi="Arial" w:cs="Arial"/>
          <w:b/>
        </w:rPr>
      </w:pPr>
    </w:p>
    <w:p w14:paraId="598DD764" w14:textId="77777777" w:rsidR="009E3C7C" w:rsidRDefault="009E3C7C" w:rsidP="009E3C7C">
      <w:pPr>
        <w:spacing w:after="60"/>
        <w:ind w:left="1985" w:hanging="1985"/>
        <w:rPr>
          <w:rFonts w:ascii="Arial" w:hAnsi="Arial" w:cs="Arial"/>
          <w:b/>
        </w:rPr>
      </w:pPr>
      <w:r>
        <w:rPr>
          <w:rFonts w:ascii="Arial" w:hAnsi="Arial" w:cs="Arial"/>
          <w:b/>
        </w:rPr>
        <w:t>Source:</w:t>
      </w:r>
      <w:r>
        <w:rPr>
          <w:rFonts w:ascii="Arial" w:hAnsi="Arial" w:cs="Arial"/>
          <w:b/>
        </w:rPr>
        <w:tab/>
        <w:t>RAN WG4</w:t>
      </w:r>
    </w:p>
    <w:p w14:paraId="318D04E0" w14:textId="77777777" w:rsidR="009E3C7C" w:rsidRDefault="009E3C7C" w:rsidP="009E3C7C">
      <w:pPr>
        <w:spacing w:after="60"/>
        <w:ind w:left="1985" w:hanging="1985"/>
        <w:rPr>
          <w:rFonts w:ascii="Arial" w:hAnsi="Arial" w:cs="Arial"/>
          <w:b/>
          <w:bCs/>
        </w:rPr>
      </w:pPr>
      <w:r>
        <w:rPr>
          <w:rFonts w:ascii="Arial" w:hAnsi="Arial" w:cs="Arial"/>
          <w:b/>
        </w:rPr>
        <w:t>To:</w:t>
      </w:r>
      <w:r>
        <w:rPr>
          <w:rFonts w:ascii="Arial" w:hAnsi="Arial" w:cs="Arial"/>
          <w:b/>
          <w:bCs/>
        </w:rPr>
        <w:tab/>
        <w:t>RAN WG2</w:t>
      </w:r>
    </w:p>
    <w:p w14:paraId="0A00CE49" w14:textId="77777777" w:rsidR="009E3C7C" w:rsidRDefault="009E3C7C" w:rsidP="009E3C7C">
      <w:pPr>
        <w:spacing w:after="60"/>
        <w:ind w:left="1985" w:hanging="1985"/>
        <w:rPr>
          <w:rFonts w:ascii="Arial" w:hAnsi="Arial" w:cs="Arial"/>
          <w:b/>
          <w:bCs/>
        </w:rPr>
      </w:pPr>
      <w:bookmarkStart w:id="28" w:name="OLE_LINK45"/>
      <w:bookmarkStart w:id="29" w:name="OLE_LINK46"/>
      <w:r>
        <w:rPr>
          <w:rFonts w:ascii="Arial" w:hAnsi="Arial" w:cs="Arial"/>
          <w:b/>
        </w:rPr>
        <w:t>Cc:</w:t>
      </w:r>
      <w:r>
        <w:rPr>
          <w:rFonts w:ascii="Arial" w:hAnsi="Arial" w:cs="Arial"/>
          <w:b/>
          <w:bCs/>
        </w:rPr>
        <w:tab/>
        <w:t>RAN WG1</w:t>
      </w:r>
    </w:p>
    <w:bookmarkEnd w:id="28"/>
    <w:bookmarkEnd w:id="29"/>
    <w:p w14:paraId="5BF66FE1" w14:textId="77777777" w:rsidR="009E3C7C" w:rsidRDefault="009E3C7C" w:rsidP="009E3C7C">
      <w:pPr>
        <w:spacing w:after="60"/>
        <w:ind w:left="1985" w:hanging="1985"/>
        <w:rPr>
          <w:rFonts w:ascii="Arial" w:hAnsi="Arial" w:cs="Arial"/>
          <w:bCs/>
        </w:rPr>
      </w:pPr>
    </w:p>
    <w:p w14:paraId="182EEEC5" w14:textId="77777777" w:rsidR="009E3C7C" w:rsidRDefault="009E3C7C" w:rsidP="009E3C7C">
      <w:pPr>
        <w:spacing w:after="60"/>
        <w:ind w:left="1985" w:hanging="1985"/>
        <w:rPr>
          <w:rFonts w:ascii="Arial" w:hAnsi="Arial" w:cs="Arial"/>
          <w:b/>
          <w:bCs/>
        </w:rPr>
      </w:pPr>
      <w:r w:rsidRPr="176BD3AC">
        <w:rPr>
          <w:rFonts w:ascii="Arial" w:hAnsi="Arial" w:cs="Arial"/>
          <w:b/>
          <w:bCs/>
        </w:rPr>
        <w:t>Contact person:</w:t>
      </w:r>
      <w:r>
        <w:tab/>
      </w:r>
    </w:p>
    <w:p w14:paraId="5B8AC1D9" w14:textId="5281E7F6" w:rsidR="009E3C7C" w:rsidRPr="009E3C7C" w:rsidRDefault="009E3C7C" w:rsidP="009E3C7C">
      <w:pPr>
        <w:spacing w:after="60"/>
        <w:ind w:left="2705" w:hanging="1985"/>
        <w:rPr>
          <w:rFonts w:cs="Times New Roman"/>
          <w:b/>
          <w:bCs/>
          <w:lang w:val="pt-BR"/>
        </w:rPr>
      </w:pPr>
      <w:proofErr w:type="spellStart"/>
      <w:r w:rsidRPr="009E3C7C">
        <w:rPr>
          <w:rFonts w:cs="Times New Roman"/>
          <w:b/>
          <w:bCs/>
          <w:lang w:val="pt-BR"/>
        </w:rPr>
        <w:t>Name</w:t>
      </w:r>
      <w:proofErr w:type="spellEnd"/>
      <w:r w:rsidRPr="009E3C7C">
        <w:rPr>
          <w:rFonts w:cs="Times New Roman"/>
          <w:b/>
          <w:bCs/>
          <w:lang w:val="pt-BR"/>
        </w:rPr>
        <w:t>:</w:t>
      </w:r>
      <w:r w:rsidRPr="009E3C7C">
        <w:rPr>
          <w:lang w:val="pt-BR"/>
        </w:rPr>
        <w:tab/>
      </w:r>
      <w:r w:rsidRPr="009E3C7C">
        <w:rPr>
          <w:rFonts w:cs="Times New Roman"/>
          <w:b/>
          <w:bCs/>
          <w:lang w:val="pt-BR"/>
        </w:rPr>
        <w:t>R</w:t>
      </w:r>
      <w:r>
        <w:rPr>
          <w:rFonts w:cs="Times New Roman"/>
          <w:b/>
          <w:bCs/>
          <w:lang w:val="pt-BR"/>
        </w:rPr>
        <w:t>afhael Amorim</w:t>
      </w:r>
    </w:p>
    <w:p w14:paraId="753B8A34" w14:textId="479059BE" w:rsidR="009E3C7C" w:rsidRPr="009E3C7C" w:rsidRDefault="009E3C7C" w:rsidP="009E3C7C">
      <w:pPr>
        <w:spacing w:after="60"/>
        <w:ind w:left="2705" w:hanging="1985"/>
        <w:rPr>
          <w:rFonts w:cs="Times New Roman"/>
          <w:b/>
          <w:bCs/>
          <w:lang w:val="pt-BR"/>
        </w:rPr>
      </w:pPr>
      <w:r w:rsidRPr="009E3C7C">
        <w:rPr>
          <w:rFonts w:cs="Times New Roman"/>
          <w:b/>
          <w:bCs/>
          <w:lang w:val="pt-BR"/>
        </w:rPr>
        <w:lastRenderedPageBreak/>
        <w:t xml:space="preserve">E-mail </w:t>
      </w:r>
      <w:proofErr w:type="spellStart"/>
      <w:r w:rsidRPr="009E3C7C">
        <w:rPr>
          <w:rFonts w:cs="Times New Roman"/>
          <w:b/>
          <w:bCs/>
          <w:lang w:val="pt-BR"/>
        </w:rPr>
        <w:t>Address</w:t>
      </w:r>
      <w:proofErr w:type="spellEnd"/>
      <w:r w:rsidRPr="009E3C7C">
        <w:rPr>
          <w:rFonts w:cs="Times New Roman"/>
          <w:b/>
          <w:bCs/>
          <w:lang w:val="pt-BR"/>
        </w:rPr>
        <w:t>:</w:t>
      </w:r>
      <w:r w:rsidRPr="009E3C7C">
        <w:rPr>
          <w:lang w:val="pt-BR"/>
        </w:rPr>
        <w:tab/>
      </w:r>
      <w:r>
        <w:rPr>
          <w:rFonts w:cs="Times New Roman"/>
          <w:b/>
          <w:bCs/>
          <w:lang w:val="pt-BR"/>
        </w:rPr>
        <w:t>Rafhael.medeiros_de_amorim</w:t>
      </w:r>
      <w:r w:rsidRPr="009E3C7C">
        <w:rPr>
          <w:rFonts w:cs="Times New Roman"/>
          <w:b/>
          <w:bCs/>
          <w:lang w:val="pt-BR"/>
        </w:rPr>
        <w:t>@nokia.com</w:t>
      </w:r>
    </w:p>
    <w:p w14:paraId="0831EE12" w14:textId="77777777" w:rsidR="009E3C7C" w:rsidRPr="009E3C7C" w:rsidRDefault="009E3C7C" w:rsidP="009E3C7C">
      <w:pPr>
        <w:spacing w:after="60"/>
        <w:ind w:left="1985" w:hanging="1985"/>
        <w:rPr>
          <w:rFonts w:ascii="Arial" w:hAnsi="Arial" w:cs="Arial"/>
          <w:b/>
          <w:bCs/>
          <w:noProof/>
          <w:lang w:val="pt-BR"/>
        </w:rPr>
      </w:pPr>
      <w:r w:rsidRPr="009E3C7C">
        <w:rPr>
          <w:rFonts w:ascii="Arial" w:hAnsi="Arial" w:cs="Arial"/>
          <w:b/>
          <w:bCs/>
          <w:lang w:val="pt-BR"/>
        </w:rPr>
        <w:tab/>
      </w:r>
    </w:p>
    <w:p w14:paraId="7E86E1B5" w14:textId="77777777" w:rsidR="009E3C7C" w:rsidRDefault="009E3C7C" w:rsidP="009E3C7C">
      <w:pPr>
        <w:spacing w:after="60"/>
        <w:ind w:left="1985" w:hanging="1985"/>
        <w:rPr>
          <w:rFonts w:ascii="Arial" w:hAnsi="Arial" w:cs="Arial"/>
          <w:b/>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8" w:history="1">
        <w:r>
          <w:rPr>
            <w:rStyle w:val="Hyperlink"/>
            <w:rFonts w:ascii="Arial" w:hAnsi="Arial" w:cs="Arial"/>
            <w:b/>
          </w:rPr>
          <w:t>mailto:3GPPLiaison@etsi.org</w:t>
        </w:r>
      </w:hyperlink>
    </w:p>
    <w:p w14:paraId="178DCD4D" w14:textId="77777777" w:rsidR="009E3C7C" w:rsidRDefault="009E3C7C" w:rsidP="009E3C7C">
      <w:pPr>
        <w:spacing w:after="60"/>
        <w:ind w:left="1985" w:hanging="1985"/>
        <w:rPr>
          <w:rFonts w:ascii="Arial" w:hAnsi="Arial" w:cs="Arial"/>
          <w:b/>
        </w:rPr>
      </w:pPr>
    </w:p>
    <w:p w14:paraId="3609AFDB" w14:textId="77777777" w:rsidR="009E3C7C" w:rsidRDefault="009E3C7C" w:rsidP="009E3C7C">
      <w:pPr>
        <w:spacing w:after="60"/>
        <w:ind w:left="1985" w:hanging="1985"/>
        <w:rPr>
          <w:rFonts w:ascii="Arial" w:hAnsi="Arial" w:cs="Arial"/>
          <w:bCs/>
        </w:rPr>
      </w:pPr>
      <w:r>
        <w:rPr>
          <w:rFonts w:ascii="Arial" w:hAnsi="Arial" w:cs="Arial"/>
          <w:b/>
        </w:rPr>
        <w:t>Attachments:</w:t>
      </w:r>
      <w:r>
        <w:rPr>
          <w:rFonts w:ascii="Arial" w:hAnsi="Arial" w:cs="Arial"/>
          <w:b/>
          <w:bCs/>
        </w:rPr>
        <w:t xml:space="preserve"> </w:t>
      </w:r>
      <w:r>
        <w:rPr>
          <w:rFonts w:ascii="Arial" w:hAnsi="Arial" w:cs="Arial"/>
          <w:b/>
          <w:bCs/>
        </w:rPr>
        <w:tab/>
        <w:t xml:space="preserve"> </w:t>
      </w:r>
    </w:p>
    <w:p w14:paraId="2CAC36D5" w14:textId="77777777" w:rsidR="009E3C7C" w:rsidRDefault="009E3C7C" w:rsidP="009E3C7C">
      <w:pPr>
        <w:rPr>
          <w:rFonts w:ascii="Arial" w:hAnsi="Arial" w:cs="Arial"/>
        </w:rPr>
      </w:pPr>
    </w:p>
    <w:p w14:paraId="65C04DC9" w14:textId="77777777" w:rsidR="009E3C7C" w:rsidRPr="00131946" w:rsidRDefault="009E3C7C" w:rsidP="009E3C7C">
      <w:pPr>
        <w:pStyle w:val="Heading1"/>
        <w:pBdr>
          <w:top w:val="single" w:sz="12" w:space="3" w:color="auto"/>
        </w:pBdr>
        <w:tabs>
          <w:tab w:val="num" w:pos="425"/>
        </w:tabs>
        <w:spacing w:after="180" w:line="240" w:lineRule="auto"/>
        <w:ind w:left="425" w:hanging="425"/>
        <w:rPr>
          <w:rFonts w:ascii="Arial" w:eastAsia="MS Mincho" w:hAnsi="Arial" w:cs="Times New Roman"/>
          <w:color w:val="auto"/>
          <w:sz w:val="36"/>
          <w:szCs w:val="20"/>
          <w:lang w:eastAsia="de-DE"/>
        </w:rPr>
      </w:pPr>
      <w:r w:rsidRPr="00131946">
        <w:rPr>
          <w:rFonts w:ascii="Arial" w:eastAsia="MS Mincho" w:hAnsi="Arial" w:cs="Times New Roman"/>
          <w:color w:val="auto"/>
          <w:sz w:val="36"/>
          <w:szCs w:val="20"/>
          <w:lang w:eastAsia="de-DE"/>
        </w:rPr>
        <w:t>Overall description</w:t>
      </w:r>
    </w:p>
    <w:p w14:paraId="3A5CB5AA" w14:textId="77777777" w:rsidR="009E3C7C" w:rsidRDefault="009E3C7C" w:rsidP="009E3C7C">
      <w:r>
        <w:t xml:space="preserve">RAN4 would like to thank RAN2 for the LS </w:t>
      </w:r>
      <w:r w:rsidRPr="009E3C7C">
        <w:t>R2-2503068</w:t>
      </w:r>
      <w:r>
        <w:t>. RAN4 has discussed</w:t>
      </w:r>
      <w:r>
        <w:t xml:space="preserve"> the potential impacts of the proposed enhancements and indicated working assumptions made by RAN2 and RAN4 has come to the following conclusions:</w:t>
      </w:r>
    </w:p>
    <w:p w14:paraId="7948722E" w14:textId="7F851D82" w:rsidR="009E3C7C" w:rsidRDefault="001D6EB2" w:rsidP="009E3C7C">
      <w:pPr>
        <w:pStyle w:val="ListParagraph"/>
        <w:numPr>
          <w:ilvl w:val="0"/>
          <w:numId w:val="32"/>
        </w:numPr>
      </w:pPr>
      <w:proofErr w:type="gramStart"/>
      <w:r>
        <w:t>As long as</w:t>
      </w:r>
      <w:proofErr w:type="gramEnd"/>
      <w:r>
        <w:t xml:space="preserve"> the PCI list containing the cells to be measured in each of the SMTC configurations is provided, it is technically feasible to implement two SMTC periodicities</w:t>
      </w:r>
    </w:p>
    <w:p w14:paraId="51DC38EA" w14:textId="5FC7B988" w:rsidR="001D6EB2" w:rsidRDefault="001D6EB2" w:rsidP="009E3C7C">
      <w:pPr>
        <w:pStyle w:val="ListParagraph"/>
        <w:numPr>
          <w:ilvl w:val="0"/>
          <w:numId w:val="32"/>
        </w:numPr>
      </w:pPr>
      <w:r>
        <w:t xml:space="preserve">Currently, if the network configures more SMTCs (e.g. 4) than supported by the UE (e.g. 2) in IDLE or INACTIVE mode, then the measurement requirements are not applicable. </w:t>
      </w:r>
    </w:p>
    <w:p w14:paraId="1863381B" w14:textId="6410C45D" w:rsidR="001D6EB2" w:rsidRDefault="001D6EB2" w:rsidP="001D6EB2">
      <w:pPr>
        <w:pStyle w:val="ListParagraph"/>
        <w:numPr>
          <w:ilvl w:val="1"/>
          <w:numId w:val="32"/>
        </w:numPr>
      </w:pPr>
      <w:r>
        <w:t>Relying on expanding the number of SMTCs to 6 would cause the mobility requirements to not apply to most UEs, unless:</w:t>
      </w:r>
    </w:p>
    <w:p w14:paraId="205C3DB5" w14:textId="6EF633F3" w:rsidR="001D6EB2" w:rsidRDefault="001D6EB2" w:rsidP="001D6EB2">
      <w:pPr>
        <w:pStyle w:val="ListParagraph"/>
        <w:numPr>
          <w:ilvl w:val="2"/>
          <w:numId w:val="32"/>
        </w:numPr>
      </w:pPr>
      <w:r>
        <w:t xml:space="preserve">Supporting 6 SMTCs is made mandatory for UEs supporting this feature. </w:t>
      </w:r>
    </w:p>
    <w:p w14:paraId="40DAF7FB" w14:textId="25F506C0" w:rsidR="001D6EB2" w:rsidRDefault="001D6EB2" w:rsidP="001D6EB2">
      <w:pPr>
        <w:pStyle w:val="ListParagraph"/>
        <w:numPr>
          <w:ilvl w:val="2"/>
          <w:numId w:val="32"/>
        </w:numPr>
      </w:pPr>
      <w:r>
        <w:t>There is a prioritization of the SMTCs to be selected by the UE</w:t>
      </w:r>
    </w:p>
    <w:p w14:paraId="75A03BE1" w14:textId="77777777" w:rsidR="009E3C7C" w:rsidRDefault="009E3C7C" w:rsidP="009E3C7C"/>
    <w:p w14:paraId="1F26309C" w14:textId="77777777" w:rsidR="009E3C7C" w:rsidRPr="00131946" w:rsidRDefault="009E3C7C" w:rsidP="009E3C7C">
      <w:pPr>
        <w:pStyle w:val="Heading1"/>
        <w:pBdr>
          <w:top w:val="single" w:sz="12" w:space="3" w:color="auto"/>
        </w:pBdr>
        <w:tabs>
          <w:tab w:val="num" w:pos="425"/>
        </w:tabs>
        <w:spacing w:after="180" w:line="240" w:lineRule="auto"/>
        <w:ind w:left="425" w:hanging="425"/>
        <w:rPr>
          <w:rFonts w:ascii="Arial" w:eastAsia="MS Mincho" w:hAnsi="Arial" w:cs="Times New Roman"/>
          <w:color w:val="auto"/>
          <w:sz w:val="36"/>
          <w:szCs w:val="20"/>
          <w:lang w:eastAsia="de-DE"/>
        </w:rPr>
      </w:pPr>
      <w:r w:rsidRPr="00131946">
        <w:rPr>
          <w:rFonts w:ascii="Arial" w:eastAsia="MS Mincho" w:hAnsi="Arial" w:cs="Times New Roman"/>
          <w:color w:val="auto"/>
          <w:sz w:val="36"/>
          <w:szCs w:val="20"/>
          <w:lang w:eastAsia="de-DE"/>
        </w:rPr>
        <w:t>Actions</w:t>
      </w:r>
    </w:p>
    <w:p w14:paraId="17238C8B" w14:textId="77777777" w:rsidR="009E3C7C" w:rsidRDefault="009E3C7C" w:rsidP="009E3C7C">
      <w:pPr>
        <w:spacing w:after="120"/>
        <w:ind w:left="993" w:hanging="993"/>
        <w:rPr>
          <w:rFonts w:ascii="Arial" w:hAnsi="Arial" w:cs="Arial"/>
          <w:b/>
        </w:rPr>
      </w:pPr>
      <w:r>
        <w:rPr>
          <w:rFonts w:ascii="Arial" w:hAnsi="Arial" w:cs="Arial"/>
          <w:b/>
        </w:rPr>
        <w:t xml:space="preserve">ACTIONS: </w:t>
      </w:r>
    </w:p>
    <w:p w14:paraId="49D368FE" w14:textId="6440C454" w:rsidR="009E3C7C" w:rsidRDefault="009E3C7C" w:rsidP="009E3C7C">
      <w:pPr>
        <w:spacing w:after="120"/>
      </w:pPr>
      <w:r>
        <w:rPr>
          <w:rFonts w:ascii="Arial" w:hAnsi="Arial" w:cs="Arial"/>
          <w:b/>
        </w:rPr>
        <w:t xml:space="preserve">To RAN WG2 and WG1: </w:t>
      </w:r>
      <w:r>
        <w:t xml:space="preserve">RAN4 respectfully asks RAN2 </w:t>
      </w:r>
      <w:r>
        <w:rPr>
          <w:lang w:eastAsia="zh-CN"/>
        </w:rPr>
        <w:t xml:space="preserve">to consider </w:t>
      </w:r>
      <w:r>
        <w:t xml:space="preserve">the </w:t>
      </w:r>
      <w:proofErr w:type="gramStart"/>
      <w:r>
        <w:t>above mentioned</w:t>
      </w:r>
      <w:proofErr w:type="gramEnd"/>
      <w:r>
        <w:t xml:space="preserve"> </w:t>
      </w:r>
      <w:r w:rsidR="002909DC">
        <w:t>conclusions in RAN2 work.</w:t>
      </w:r>
    </w:p>
    <w:p w14:paraId="4E6FB077" w14:textId="77777777" w:rsidR="009E3C7C" w:rsidRDefault="009E3C7C" w:rsidP="009E3C7C"/>
    <w:p w14:paraId="2DD1970E" w14:textId="77777777" w:rsidR="009E3C7C" w:rsidRPr="00131946" w:rsidRDefault="009E3C7C" w:rsidP="009E3C7C">
      <w:pPr>
        <w:pStyle w:val="Heading1"/>
        <w:pBdr>
          <w:top w:val="single" w:sz="12" w:space="3" w:color="auto"/>
        </w:pBdr>
        <w:tabs>
          <w:tab w:val="num" w:pos="425"/>
        </w:tabs>
        <w:spacing w:after="180" w:line="240" w:lineRule="auto"/>
        <w:ind w:left="425" w:hanging="425"/>
        <w:rPr>
          <w:rFonts w:ascii="Arial" w:eastAsia="MS Mincho" w:hAnsi="Arial" w:cs="Times New Roman"/>
          <w:color w:val="auto"/>
          <w:sz w:val="36"/>
          <w:szCs w:val="36"/>
          <w:lang w:eastAsia="de-DE"/>
        </w:rPr>
      </w:pPr>
      <w:r w:rsidRPr="176BD3AC">
        <w:rPr>
          <w:rFonts w:ascii="Arial" w:eastAsia="MS Mincho" w:hAnsi="Arial" w:cs="Times New Roman"/>
          <w:color w:val="auto"/>
          <w:sz w:val="36"/>
          <w:szCs w:val="36"/>
          <w:lang w:eastAsia="de-DE"/>
        </w:rPr>
        <w:t>Dates of next TSG RAN WG4 meetings</w:t>
      </w:r>
    </w:p>
    <w:p w14:paraId="02DA79B6" w14:textId="77777777" w:rsidR="009E3C7C" w:rsidRDefault="009E3C7C" w:rsidP="009E3C7C">
      <w:pPr>
        <w:tabs>
          <w:tab w:val="left" w:pos="3590"/>
          <w:tab w:val="left" w:pos="7610"/>
        </w:tabs>
        <w:spacing w:after="120"/>
        <w:ind w:left="2268" w:hanging="2268"/>
        <w:rPr>
          <w:rFonts w:ascii="Arial" w:hAnsi="Arial" w:cs="Arial"/>
        </w:rPr>
      </w:pPr>
      <w:r w:rsidRPr="4486A94F">
        <w:rPr>
          <w:rFonts w:ascii="Arial" w:hAnsi="Arial" w:cs="Arial"/>
        </w:rPr>
        <w:t>TSG-RAN4 Meeting #11</w:t>
      </w:r>
      <w:r>
        <w:rPr>
          <w:rFonts w:ascii="Arial" w:hAnsi="Arial" w:cs="Arial"/>
        </w:rPr>
        <w:t>6</w:t>
      </w:r>
      <w:r>
        <w:tab/>
      </w:r>
      <w:r w:rsidRPr="4486A94F">
        <w:rPr>
          <w:rFonts w:ascii="Arial" w:hAnsi="Arial" w:cs="Arial"/>
        </w:rPr>
        <w:t>A</w:t>
      </w:r>
      <w:r>
        <w:rPr>
          <w:rFonts w:ascii="Arial" w:hAnsi="Arial" w:cs="Arial"/>
        </w:rPr>
        <w:t>ug</w:t>
      </w:r>
      <w:r w:rsidRPr="4486A94F">
        <w:rPr>
          <w:rFonts w:ascii="Arial" w:hAnsi="Arial" w:cs="Arial"/>
        </w:rPr>
        <w:t xml:space="preserve"> </w:t>
      </w:r>
      <w:r>
        <w:rPr>
          <w:rFonts w:ascii="Arial" w:hAnsi="Arial" w:cs="Arial"/>
        </w:rPr>
        <w:t>25</w:t>
      </w:r>
      <w:r w:rsidRPr="4486A94F">
        <w:rPr>
          <w:rFonts w:ascii="Arial" w:hAnsi="Arial" w:cs="Arial"/>
        </w:rPr>
        <w:t xml:space="preserve"> - </w:t>
      </w:r>
      <w:r>
        <w:rPr>
          <w:rFonts w:ascii="Arial" w:hAnsi="Arial" w:cs="Arial"/>
        </w:rPr>
        <w:t>29</w:t>
      </w:r>
      <w:r w:rsidRPr="4486A94F">
        <w:rPr>
          <w:rFonts w:ascii="Arial" w:hAnsi="Arial" w:cs="Arial"/>
        </w:rPr>
        <w:t>, 2025</w:t>
      </w:r>
      <w:r>
        <w:tab/>
      </w:r>
      <w:r>
        <w:rPr>
          <w:rFonts w:ascii="Arial" w:hAnsi="Arial" w:cs="Arial"/>
        </w:rPr>
        <w:t>Bangalore, India</w:t>
      </w:r>
    </w:p>
    <w:p w14:paraId="06B55B0A" w14:textId="77777777" w:rsidR="009E3C7C" w:rsidRPr="008F786B" w:rsidRDefault="009E3C7C" w:rsidP="00E43BF9">
      <w:pPr>
        <w:ind w:right="-22"/>
      </w:pPr>
    </w:p>
    <w:sectPr w:rsidR="009E3C7C"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B77519" w14:textId="77777777" w:rsidR="005836F6" w:rsidRDefault="005836F6" w:rsidP="00001C9B">
      <w:pPr>
        <w:spacing w:after="0" w:line="240" w:lineRule="auto"/>
      </w:pPr>
      <w:r>
        <w:separator/>
      </w:r>
    </w:p>
  </w:endnote>
  <w:endnote w:type="continuationSeparator" w:id="0">
    <w:p w14:paraId="1A6A0D76" w14:textId="77777777" w:rsidR="005836F6" w:rsidRDefault="005836F6" w:rsidP="00001C9B">
      <w:pPr>
        <w:spacing w:after="0" w:line="240" w:lineRule="auto"/>
      </w:pPr>
      <w:r>
        <w:continuationSeparator/>
      </w:r>
    </w:p>
  </w:endnote>
  <w:endnote w:type="continuationNotice" w:id="1">
    <w:p w14:paraId="64487D36" w14:textId="77777777" w:rsidR="009314D2" w:rsidRDefault="009314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5C355" w14:textId="77777777" w:rsidR="005836F6" w:rsidRDefault="005836F6" w:rsidP="00001C9B">
      <w:pPr>
        <w:spacing w:after="0" w:line="240" w:lineRule="auto"/>
      </w:pPr>
      <w:r>
        <w:separator/>
      </w:r>
    </w:p>
  </w:footnote>
  <w:footnote w:type="continuationSeparator" w:id="0">
    <w:p w14:paraId="592C4733" w14:textId="77777777" w:rsidR="005836F6" w:rsidRDefault="005836F6" w:rsidP="00001C9B">
      <w:pPr>
        <w:spacing w:after="0" w:line="240" w:lineRule="auto"/>
      </w:pPr>
      <w:r>
        <w:continuationSeparator/>
      </w:r>
    </w:p>
  </w:footnote>
  <w:footnote w:type="continuationNotice" w:id="1">
    <w:p w14:paraId="6CEC2C0F" w14:textId="77777777" w:rsidR="009314D2" w:rsidRDefault="009314D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A46595"/>
    <w:multiLevelType w:val="hybridMultilevel"/>
    <w:tmpl w:val="A8069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5B77B56"/>
    <w:multiLevelType w:val="hybridMultilevel"/>
    <w:tmpl w:val="C8060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267C66"/>
    <w:multiLevelType w:val="multilevel"/>
    <w:tmpl w:val="67267C66"/>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numFmt w:val="bullet"/>
      <w:lvlText w:val="•"/>
      <w:lvlJc w:val="left"/>
      <w:pPr>
        <w:ind w:left="6404" w:hanging="360"/>
      </w:pPr>
      <w:rPr>
        <w:rFonts w:ascii="Times New Roman" w:eastAsia="SimSun" w:hAnsi="Times New Roman" w:cs="Times New Roman"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6A4F36C4"/>
    <w:multiLevelType w:val="hybridMultilevel"/>
    <w:tmpl w:val="9C248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1"/>
  </w:num>
  <w:num w:numId="4" w16cid:durableId="517735681">
    <w:abstractNumId w:val="5"/>
  </w:num>
  <w:num w:numId="5" w16cid:durableId="1142041724">
    <w:abstractNumId w:val="16"/>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8"/>
  </w:num>
  <w:num w:numId="16" w16cid:durableId="516113510">
    <w:abstractNumId w:val="4"/>
  </w:num>
  <w:num w:numId="17" w16cid:durableId="1456096507">
    <w:abstractNumId w:val="14"/>
  </w:num>
  <w:num w:numId="18" w16cid:durableId="1397970374">
    <w:abstractNumId w:val="1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2"/>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9"/>
  </w:num>
  <w:num w:numId="28" w16cid:durableId="2095668156">
    <w:abstractNumId w:val="3"/>
  </w:num>
  <w:num w:numId="29" w16cid:durableId="700278259">
    <w:abstractNumId w:val="17"/>
  </w:num>
  <w:num w:numId="30" w16cid:durableId="2133164022">
    <w:abstractNumId w:val="13"/>
  </w:num>
  <w:num w:numId="31" w16cid:durableId="386153439">
    <w:abstractNumId w:val="15"/>
  </w:num>
  <w:num w:numId="32" w16cid:durableId="168389905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836F6"/>
    <w:rsid w:val="00001C9B"/>
    <w:rsid w:val="000040DC"/>
    <w:rsid w:val="00011784"/>
    <w:rsid w:val="000151EF"/>
    <w:rsid w:val="000239F5"/>
    <w:rsid w:val="00037101"/>
    <w:rsid w:val="00061256"/>
    <w:rsid w:val="00072CCA"/>
    <w:rsid w:val="0007601C"/>
    <w:rsid w:val="00081544"/>
    <w:rsid w:val="00085017"/>
    <w:rsid w:val="0008612A"/>
    <w:rsid w:val="00090E18"/>
    <w:rsid w:val="000A10BC"/>
    <w:rsid w:val="000A2ED5"/>
    <w:rsid w:val="000A7F53"/>
    <w:rsid w:val="000B0056"/>
    <w:rsid w:val="000C3C7B"/>
    <w:rsid w:val="000D0F93"/>
    <w:rsid w:val="00106416"/>
    <w:rsid w:val="00110481"/>
    <w:rsid w:val="001113FD"/>
    <w:rsid w:val="001127C9"/>
    <w:rsid w:val="00114498"/>
    <w:rsid w:val="00115B88"/>
    <w:rsid w:val="00132F6A"/>
    <w:rsid w:val="00133913"/>
    <w:rsid w:val="00140221"/>
    <w:rsid w:val="00161913"/>
    <w:rsid w:val="001642FC"/>
    <w:rsid w:val="0016496B"/>
    <w:rsid w:val="001743E2"/>
    <w:rsid w:val="001745F8"/>
    <w:rsid w:val="00182687"/>
    <w:rsid w:val="001838CF"/>
    <w:rsid w:val="001868EE"/>
    <w:rsid w:val="00194AEC"/>
    <w:rsid w:val="001A3BA4"/>
    <w:rsid w:val="001A6D1F"/>
    <w:rsid w:val="001B1EA8"/>
    <w:rsid w:val="001D6EB2"/>
    <w:rsid w:val="001E30F6"/>
    <w:rsid w:val="00216379"/>
    <w:rsid w:val="00217EE5"/>
    <w:rsid w:val="00225D10"/>
    <w:rsid w:val="0023559D"/>
    <w:rsid w:val="00235F5C"/>
    <w:rsid w:val="0024235F"/>
    <w:rsid w:val="002433E2"/>
    <w:rsid w:val="00257FA3"/>
    <w:rsid w:val="00277B56"/>
    <w:rsid w:val="00282A74"/>
    <w:rsid w:val="00283CEA"/>
    <w:rsid w:val="002849D4"/>
    <w:rsid w:val="002872A9"/>
    <w:rsid w:val="00290244"/>
    <w:rsid w:val="002909DC"/>
    <w:rsid w:val="00295E70"/>
    <w:rsid w:val="002969B6"/>
    <w:rsid w:val="002A19F5"/>
    <w:rsid w:val="002B4922"/>
    <w:rsid w:val="002B69F3"/>
    <w:rsid w:val="002B6B92"/>
    <w:rsid w:val="002C22C3"/>
    <w:rsid w:val="002C2D19"/>
    <w:rsid w:val="002D10FA"/>
    <w:rsid w:val="002D4C55"/>
    <w:rsid w:val="002E6DED"/>
    <w:rsid w:val="00300956"/>
    <w:rsid w:val="00307EE8"/>
    <w:rsid w:val="00317187"/>
    <w:rsid w:val="0032499A"/>
    <w:rsid w:val="0033366B"/>
    <w:rsid w:val="003341F7"/>
    <w:rsid w:val="00347FEC"/>
    <w:rsid w:val="003509DF"/>
    <w:rsid w:val="00356F45"/>
    <w:rsid w:val="00366B74"/>
    <w:rsid w:val="003774C0"/>
    <w:rsid w:val="00381F95"/>
    <w:rsid w:val="003A710A"/>
    <w:rsid w:val="003B4307"/>
    <w:rsid w:val="003B659E"/>
    <w:rsid w:val="003C275E"/>
    <w:rsid w:val="003C4FDE"/>
    <w:rsid w:val="003E58DF"/>
    <w:rsid w:val="003E70EE"/>
    <w:rsid w:val="003F7007"/>
    <w:rsid w:val="00404C4C"/>
    <w:rsid w:val="0041423F"/>
    <w:rsid w:val="00414F81"/>
    <w:rsid w:val="00426B9A"/>
    <w:rsid w:val="00436A0F"/>
    <w:rsid w:val="00437150"/>
    <w:rsid w:val="0043750A"/>
    <w:rsid w:val="00447577"/>
    <w:rsid w:val="004732E9"/>
    <w:rsid w:val="004854BB"/>
    <w:rsid w:val="00494493"/>
    <w:rsid w:val="00496606"/>
    <w:rsid w:val="004A3881"/>
    <w:rsid w:val="004E5E66"/>
    <w:rsid w:val="004E7ADB"/>
    <w:rsid w:val="00503B4D"/>
    <w:rsid w:val="00504EE9"/>
    <w:rsid w:val="00514E4F"/>
    <w:rsid w:val="00521576"/>
    <w:rsid w:val="005250E6"/>
    <w:rsid w:val="00532F86"/>
    <w:rsid w:val="00542D23"/>
    <w:rsid w:val="0054442C"/>
    <w:rsid w:val="005457D3"/>
    <w:rsid w:val="00545E53"/>
    <w:rsid w:val="00550285"/>
    <w:rsid w:val="00562492"/>
    <w:rsid w:val="005624E0"/>
    <w:rsid w:val="00572A20"/>
    <w:rsid w:val="00581618"/>
    <w:rsid w:val="005836F6"/>
    <w:rsid w:val="005836F8"/>
    <w:rsid w:val="005918FA"/>
    <w:rsid w:val="00592A86"/>
    <w:rsid w:val="005B3029"/>
    <w:rsid w:val="005B4801"/>
    <w:rsid w:val="005B699A"/>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64950"/>
    <w:rsid w:val="00683220"/>
    <w:rsid w:val="0068781B"/>
    <w:rsid w:val="00687FA0"/>
    <w:rsid w:val="006A3C11"/>
    <w:rsid w:val="006B7010"/>
    <w:rsid w:val="006C3095"/>
    <w:rsid w:val="006D36CA"/>
    <w:rsid w:val="006E1151"/>
    <w:rsid w:val="006E4F45"/>
    <w:rsid w:val="006E6311"/>
    <w:rsid w:val="00701D91"/>
    <w:rsid w:val="007145FF"/>
    <w:rsid w:val="00715B2A"/>
    <w:rsid w:val="00733B21"/>
    <w:rsid w:val="007376A9"/>
    <w:rsid w:val="007450F1"/>
    <w:rsid w:val="00751515"/>
    <w:rsid w:val="007626B7"/>
    <w:rsid w:val="00772284"/>
    <w:rsid w:val="0078212B"/>
    <w:rsid w:val="00784DF6"/>
    <w:rsid w:val="00785232"/>
    <w:rsid w:val="007A2588"/>
    <w:rsid w:val="007A5589"/>
    <w:rsid w:val="007B186C"/>
    <w:rsid w:val="007C1696"/>
    <w:rsid w:val="007C3ED0"/>
    <w:rsid w:val="007C48C4"/>
    <w:rsid w:val="007C5971"/>
    <w:rsid w:val="007E42DC"/>
    <w:rsid w:val="007E4668"/>
    <w:rsid w:val="007F54B9"/>
    <w:rsid w:val="007F6898"/>
    <w:rsid w:val="00806A76"/>
    <w:rsid w:val="00811C9D"/>
    <w:rsid w:val="00816C80"/>
    <w:rsid w:val="0081797B"/>
    <w:rsid w:val="0082796A"/>
    <w:rsid w:val="0083707A"/>
    <w:rsid w:val="00841BCD"/>
    <w:rsid w:val="00847264"/>
    <w:rsid w:val="00851A8E"/>
    <w:rsid w:val="0085365B"/>
    <w:rsid w:val="008668DA"/>
    <w:rsid w:val="008826C1"/>
    <w:rsid w:val="00883DFD"/>
    <w:rsid w:val="00885A38"/>
    <w:rsid w:val="0089210C"/>
    <w:rsid w:val="00893D2E"/>
    <w:rsid w:val="0089556D"/>
    <w:rsid w:val="008A1BF7"/>
    <w:rsid w:val="008A5B0E"/>
    <w:rsid w:val="008B0961"/>
    <w:rsid w:val="008C39F7"/>
    <w:rsid w:val="008E37D6"/>
    <w:rsid w:val="008F786B"/>
    <w:rsid w:val="0090091A"/>
    <w:rsid w:val="0090373B"/>
    <w:rsid w:val="009042BD"/>
    <w:rsid w:val="00904FE4"/>
    <w:rsid w:val="009056ED"/>
    <w:rsid w:val="009062D9"/>
    <w:rsid w:val="009156B4"/>
    <w:rsid w:val="00927740"/>
    <w:rsid w:val="00927B85"/>
    <w:rsid w:val="009314D2"/>
    <w:rsid w:val="0093395F"/>
    <w:rsid w:val="00936159"/>
    <w:rsid w:val="00977E1D"/>
    <w:rsid w:val="009809DB"/>
    <w:rsid w:val="009920F1"/>
    <w:rsid w:val="009A32FE"/>
    <w:rsid w:val="009B0573"/>
    <w:rsid w:val="009B7B4B"/>
    <w:rsid w:val="009B7C21"/>
    <w:rsid w:val="009E3C7C"/>
    <w:rsid w:val="009E4E6E"/>
    <w:rsid w:val="009E5FA9"/>
    <w:rsid w:val="00A04992"/>
    <w:rsid w:val="00A147AA"/>
    <w:rsid w:val="00A21D71"/>
    <w:rsid w:val="00A22B78"/>
    <w:rsid w:val="00A246F7"/>
    <w:rsid w:val="00A25AE5"/>
    <w:rsid w:val="00A26442"/>
    <w:rsid w:val="00A37002"/>
    <w:rsid w:val="00A4355E"/>
    <w:rsid w:val="00A520D9"/>
    <w:rsid w:val="00A64DA0"/>
    <w:rsid w:val="00A74866"/>
    <w:rsid w:val="00A92BCD"/>
    <w:rsid w:val="00AA1B0E"/>
    <w:rsid w:val="00AA47B6"/>
    <w:rsid w:val="00AC06C0"/>
    <w:rsid w:val="00AC163B"/>
    <w:rsid w:val="00AC5CA7"/>
    <w:rsid w:val="00AC6058"/>
    <w:rsid w:val="00AE2BA5"/>
    <w:rsid w:val="00AE56B1"/>
    <w:rsid w:val="00AE6D09"/>
    <w:rsid w:val="00AF7A7C"/>
    <w:rsid w:val="00B02070"/>
    <w:rsid w:val="00B258FE"/>
    <w:rsid w:val="00B26A8A"/>
    <w:rsid w:val="00B332D6"/>
    <w:rsid w:val="00B408B6"/>
    <w:rsid w:val="00B542DA"/>
    <w:rsid w:val="00B66B7D"/>
    <w:rsid w:val="00B73862"/>
    <w:rsid w:val="00B73F43"/>
    <w:rsid w:val="00B75BBF"/>
    <w:rsid w:val="00B81CDC"/>
    <w:rsid w:val="00B91A80"/>
    <w:rsid w:val="00BA308C"/>
    <w:rsid w:val="00BA6B66"/>
    <w:rsid w:val="00BA6E48"/>
    <w:rsid w:val="00BD1174"/>
    <w:rsid w:val="00BE0AF6"/>
    <w:rsid w:val="00BE1F03"/>
    <w:rsid w:val="00BE58A7"/>
    <w:rsid w:val="00BF2218"/>
    <w:rsid w:val="00C0426B"/>
    <w:rsid w:val="00C045DF"/>
    <w:rsid w:val="00C23762"/>
    <w:rsid w:val="00C26D43"/>
    <w:rsid w:val="00C35173"/>
    <w:rsid w:val="00C43F4A"/>
    <w:rsid w:val="00C46548"/>
    <w:rsid w:val="00C574D5"/>
    <w:rsid w:val="00C73F32"/>
    <w:rsid w:val="00C851E4"/>
    <w:rsid w:val="00C87462"/>
    <w:rsid w:val="00C9468C"/>
    <w:rsid w:val="00CA180C"/>
    <w:rsid w:val="00CB22B2"/>
    <w:rsid w:val="00CC3EE2"/>
    <w:rsid w:val="00CD6C0E"/>
    <w:rsid w:val="00CD7492"/>
    <w:rsid w:val="00CE3A6B"/>
    <w:rsid w:val="00CF4463"/>
    <w:rsid w:val="00D00211"/>
    <w:rsid w:val="00D006D1"/>
    <w:rsid w:val="00D025AE"/>
    <w:rsid w:val="00D03109"/>
    <w:rsid w:val="00D06309"/>
    <w:rsid w:val="00D340A1"/>
    <w:rsid w:val="00D349A5"/>
    <w:rsid w:val="00D351EA"/>
    <w:rsid w:val="00D40288"/>
    <w:rsid w:val="00D43403"/>
    <w:rsid w:val="00D50A6B"/>
    <w:rsid w:val="00D5270B"/>
    <w:rsid w:val="00D62E12"/>
    <w:rsid w:val="00D62E71"/>
    <w:rsid w:val="00D6430D"/>
    <w:rsid w:val="00D66188"/>
    <w:rsid w:val="00D731F6"/>
    <w:rsid w:val="00D740CA"/>
    <w:rsid w:val="00D816F8"/>
    <w:rsid w:val="00D85728"/>
    <w:rsid w:val="00D95481"/>
    <w:rsid w:val="00D96E40"/>
    <w:rsid w:val="00DA5812"/>
    <w:rsid w:val="00DC7A13"/>
    <w:rsid w:val="00DD0865"/>
    <w:rsid w:val="00DE7064"/>
    <w:rsid w:val="00DF2997"/>
    <w:rsid w:val="00E10BC4"/>
    <w:rsid w:val="00E1415D"/>
    <w:rsid w:val="00E213BD"/>
    <w:rsid w:val="00E233D3"/>
    <w:rsid w:val="00E323E9"/>
    <w:rsid w:val="00E32FB6"/>
    <w:rsid w:val="00E34018"/>
    <w:rsid w:val="00E436D4"/>
    <w:rsid w:val="00E437D2"/>
    <w:rsid w:val="00E43BF9"/>
    <w:rsid w:val="00E47BC6"/>
    <w:rsid w:val="00E51930"/>
    <w:rsid w:val="00E54B70"/>
    <w:rsid w:val="00E55751"/>
    <w:rsid w:val="00E55B45"/>
    <w:rsid w:val="00E5652C"/>
    <w:rsid w:val="00E7398E"/>
    <w:rsid w:val="00E82B94"/>
    <w:rsid w:val="00E87217"/>
    <w:rsid w:val="00EA2311"/>
    <w:rsid w:val="00EC7BC3"/>
    <w:rsid w:val="00ED01C8"/>
    <w:rsid w:val="00ED7600"/>
    <w:rsid w:val="00EF6073"/>
    <w:rsid w:val="00EF698B"/>
    <w:rsid w:val="00F1362C"/>
    <w:rsid w:val="00F414F1"/>
    <w:rsid w:val="00F508B8"/>
    <w:rsid w:val="00F72CB1"/>
    <w:rsid w:val="00F8215E"/>
    <w:rsid w:val="00F824F5"/>
    <w:rsid w:val="00F90FAB"/>
    <w:rsid w:val="00F9374D"/>
    <w:rsid w:val="00FB6924"/>
    <w:rsid w:val="00FC29B9"/>
    <w:rsid w:val="00FC6FD3"/>
    <w:rsid w:val="00FE305C"/>
    <w:rsid w:val="00FF0301"/>
    <w:rsid w:val="00FF2D73"/>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8B8C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aliases w:val="H1,h1,NMP Heading 1,app heading 1,l1,Memo Heading 1,h11,h12,h13,h14,h15,h16,h17,h111,h121,h131,h141,h151,h161,h18,h112,h122,h132,h142,h152,h162,h19,h113,h123,h133,h143,h153,h163,1,Section of paper,Heading 1_a"/>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목록 단락,?? ??,?????,リスト段落,Lista1,中等深浅网格 1 - 着色 21,????,列出段落1,¥¡¡¡¡ì¬º¥¹¥È¶ÎÂä,ÁÐ³ö¶ÎÂä,列表段落1,—ño’i—Ž,¥ê¥¹¥È¶ÎÂä,1st level - Bullet List Paragraph,Lettre d'introduction,Paragrafo elenco,Normal bullet 2"/>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목록 단락 Char,?? ?? Char,????? Char,リスト段落 Char,Lista1 Char,中等深浅网格 1 - 着色 21 Char,???? Char,列出段落1 Char,¥¡¡¡¡ì¬º¥¹¥È¶ÎÂä Char,ÁÐ³ö¶ÎÂä Char,列表段落1 Char,—ño’i—Ž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037101"/>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114950692">
      <w:bodyDiv w:val="1"/>
      <w:marLeft w:val="0"/>
      <w:marRight w:val="0"/>
      <w:marTop w:val="0"/>
      <w:marBottom w:val="0"/>
      <w:divBdr>
        <w:top w:val="none" w:sz="0" w:space="0" w:color="auto"/>
        <w:left w:val="none" w:sz="0" w:space="0" w:color="auto"/>
        <w:bottom w:val="none" w:sz="0" w:space="0" w:color="auto"/>
        <w:right w:val="none" w:sz="0" w:space="0" w:color="auto"/>
      </w:divBdr>
    </w:div>
    <w:div w:id="155534051">
      <w:bodyDiv w:val="1"/>
      <w:marLeft w:val="0"/>
      <w:marRight w:val="0"/>
      <w:marTop w:val="0"/>
      <w:marBottom w:val="0"/>
      <w:divBdr>
        <w:top w:val="none" w:sz="0" w:space="0" w:color="auto"/>
        <w:left w:val="none" w:sz="0" w:space="0" w:color="auto"/>
        <w:bottom w:val="none" w:sz="0" w:space="0" w:color="auto"/>
        <w:right w:val="none" w:sz="0" w:space="0" w:color="auto"/>
      </w:divBdr>
    </w:div>
    <w:div w:id="276909022">
      <w:bodyDiv w:val="1"/>
      <w:marLeft w:val="0"/>
      <w:marRight w:val="0"/>
      <w:marTop w:val="0"/>
      <w:marBottom w:val="0"/>
      <w:divBdr>
        <w:top w:val="none" w:sz="0" w:space="0" w:color="auto"/>
        <w:left w:val="none" w:sz="0" w:space="0" w:color="auto"/>
        <w:bottom w:val="none" w:sz="0" w:space="0" w:color="auto"/>
        <w:right w:val="none" w:sz="0" w:space="0" w:color="auto"/>
      </w:divBdr>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414589921">
      <w:bodyDiv w:val="1"/>
      <w:marLeft w:val="0"/>
      <w:marRight w:val="0"/>
      <w:marTop w:val="0"/>
      <w:marBottom w:val="0"/>
      <w:divBdr>
        <w:top w:val="none" w:sz="0" w:space="0" w:color="auto"/>
        <w:left w:val="none" w:sz="0" w:space="0" w:color="auto"/>
        <w:bottom w:val="none" w:sz="0" w:space="0" w:color="auto"/>
        <w:right w:val="none" w:sz="0" w:space="0" w:color="auto"/>
      </w:divBdr>
    </w:div>
    <w:div w:id="518079116">
      <w:bodyDiv w:val="1"/>
      <w:marLeft w:val="0"/>
      <w:marRight w:val="0"/>
      <w:marTop w:val="0"/>
      <w:marBottom w:val="0"/>
      <w:divBdr>
        <w:top w:val="none" w:sz="0" w:space="0" w:color="auto"/>
        <w:left w:val="none" w:sz="0" w:space="0" w:color="auto"/>
        <w:bottom w:val="none" w:sz="0" w:space="0" w:color="auto"/>
        <w:right w:val="none" w:sz="0" w:space="0" w:color="auto"/>
      </w:divBdr>
    </w:div>
    <w:div w:id="953944262">
      <w:bodyDiv w:val="1"/>
      <w:marLeft w:val="0"/>
      <w:marRight w:val="0"/>
      <w:marTop w:val="0"/>
      <w:marBottom w:val="0"/>
      <w:divBdr>
        <w:top w:val="none" w:sz="0" w:space="0" w:color="auto"/>
        <w:left w:val="none" w:sz="0" w:space="0" w:color="auto"/>
        <w:bottom w:val="none" w:sz="0" w:space="0" w:color="auto"/>
        <w:right w:val="none" w:sz="0" w:space="0" w:color="auto"/>
      </w:divBdr>
    </w:div>
    <w:div w:id="1138690892">
      <w:bodyDiv w:val="1"/>
      <w:marLeft w:val="0"/>
      <w:marRight w:val="0"/>
      <w:marTop w:val="0"/>
      <w:marBottom w:val="0"/>
      <w:divBdr>
        <w:top w:val="none" w:sz="0" w:space="0" w:color="auto"/>
        <w:left w:val="none" w:sz="0" w:space="0" w:color="auto"/>
        <w:bottom w:val="none" w:sz="0" w:space="0" w:color="auto"/>
        <w:right w:val="none" w:sz="0" w:space="0" w:color="auto"/>
      </w:divBdr>
    </w:div>
    <w:div w:id="1468936816">
      <w:bodyDiv w:val="1"/>
      <w:marLeft w:val="0"/>
      <w:marRight w:val="0"/>
      <w:marTop w:val="0"/>
      <w:marBottom w:val="0"/>
      <w:divBdr>
        <w:top w:val="none" w:sz="0" w:space="0" w:color="auto"/>
        <w:left w:val="none" w:sz="0" w:space="0" w:color="auto"/>
        <w:bottom w:val="none" w:sz="0" w:space="0" w:color="auto"/>
        <w:right w:val="none" w:sz="0" w:space="0" w:color="auto"/>
      </w:divBdr>
    </w:div>
    <w:div w:id="1813059084">
      <w:bodyDiv w:val="1"/>
      <w:marLeft w:val="0"/>
      <w:marRight w:val="0"/>
      <w:marTop w:val="0"/>
      <w:marBottom w:val="0"/>
      <w:divBdr>
        <w:top w:val="none" w:sz="0" w:space="0" w:color="auto"/>
        <w:left w:val="none" w:sz="0" w:space="0" w:color="auto"/>
        <w:bottom w:val="none" w:sz="0" w:space="0" w:color="auto"/>
        <w:right w:val="none" w:sz="0" w:space="0" w:color="auto"/>
      </w:divBdr>
    </w:div>
    <w:div w:id="1875582412">
      <w:bodyDiv w:val="1"/>
      <w:marLeft w:val="0"/>
      <w:marRight w:val="0"/>
      <w:marTop w:val="0"/>
      <w:marBottom w:val="0"/>
      <w:divBdr>
        <w:top w:val="none" w:sz="0" w:space="0" w:color="auto"/>
        <w:left w:val="none" w:sz="0" w:space="0" w:color="auto"/>
        <w:bottom w:val="none" w:sz="0" w:space="0" w:color="auto"/>
        <w:right w:val="none" w:sz="0" w:space="0" w:color="auto"/>
      </w:divBdr>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 w:id="2133092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2052</Words>
  <Characters>11700</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13725</CharactersWithSpaces>
  <SharedDoc>false</SharedDoc>
  <HLinks>
    <vt:vector size="36" baseType="variant">
      <vt:variant>
        <vt:i4>1703984</vt:i4>
      </vt:variant>
      <vt:variant>
        <vt:i4>23</vt:i4>
      </vt:variant>
      <vt:variant>
        <vt:i4>0</vt:i4>
      </vt:variant>
      <vt:variant>
        <vt:i4>5</vt:i4>
      </vt:variant>
      <vt:variant>
        <vt:lpwstr/>
      </vt:variant>
      <vt:variant>
        <vt:lpwstr>_Toc197441211</vt:lpwstr>
      </vt:variant>
      <vt:variant>
        <vt:i4>1703984</vt:i4>
      </vt:variant>
      <vt:variant>
        <vt:i4>20</vt:i4>
      </vt:variant>
      <vt:variant>
        <vt:i4>0</vt:i4>
      </vt:variant>
      <vt:variant>
        <vt:i4>5</vt:i4>
      </vt:variant>
      <vt:variant>
        <vt:lpwstr/>
      </vt:variant>
      <vt:variant>
        <vt:lpwstr>_Toc197441210</vt:lpwstr>
      </vt:variant>
      <vt:variant>
        <vt:i4>1769520</vt:i4>
      </vt:variant>
      <vt:variant>
        <vt:i4>17</vt:i4>
      </vt:variant>
      <vt:variant>
        <vt:i4>0</vt:i4>
      </vt:variant>
      <vt:variant>
        <vt:i4>5</vt:i4>
      </vt:variant>
      <vt:variant>
        <vt:lpwstr/>
      </vt:variant>
      <vt:variant>
        <vt:lpwstr>_Toc197441209</vt:lpwstr>
      </vt:variant>
      <vt:variant>
        <vt:i4>1769520</vt:i4>
      </vt:variant>
      <vt:variant>
        <vt:i4>14</vt:i4>
      </vt:variant>
      <vt:variant>
        <vt:i4>0</vt:i4>
      </vt:variant>
      <vt:variant>
        <vt:i4>5</vt:i4>
      </vt:variant>
      <vt:variant>
        <vt:lpwstr/>
      </vt:variant>
      <vt:variant>
        <vt:lpwstr>_Toc197441208</vt:lpwstr>
      </vt:variant>
      <vt:variant>
        <vt:i4>1769520</vt:i4>
      </vt:variant>
      <vt:variant>
        <vt:i4>11</vt:i4>
      </vt:variant>
      <vt:variant>
        <vt:i4>0</vt:i4>
      </vt:variant>
      <vt:variant>
        <vt:i4>5</vt:i4>
      </vt:variant>
      <vt:variant>
        <vt:lpwstr/>
      </vt:variant>
      <vt:variant>
        <vt:lpwstr>_Toc197441207</vt:lpwstr>
      </vt:variant>
      <vt:variant>
        <vt:i4>1769520</vt:i4>
      </vt:variant>
      <vt:variant>
        <vt:i4>8</vt:i4>
      </vt:variant>
      <vt:variant>
        <vt:i4>0</vt:i4>
      </vt:variant>
      <vt:variant>
        <vt:i4>5</vt:i4>
      </vt:variant>
      <vt:variant>
        <vt:lpwstr/>
      </vt:variant>
      <vt:variant>
        <vt:lpwstr>_Toc197441206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2025-05-09T18:30:00Z</dcterms:created>
  <dcterms:modified xsi:type="dcterms:W3CDTF">2025-05-09T18:31:00Z</dcterms:modified>
</cp:coreProperties>
</file>